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EA" w:rsidRDefault="002655CD" w:rsidP="004977EA">
      <w:r>
        <w:rPr>
          <w:noProof/>
        </w:rPr>
        <w:drawing>
          <wp:anchor distT="0" distB="0" distL="114300" distR="114300" simplePos="0" relativeHeight="251652608" behindDoc="0" locked="0" layoutInCell="0" allowOverlap="1" wp14:anchorId="679BC9ED" wp14:editId="5E9E706D">
            <wp:simplePos x="0" y="0"/>
            <wp:positionH relativeFrom="page">
              <wp:align>center</wp:align>
            </wp:positionH>
            <wp:positionV relativeFrom="page">
              <wp:posOffset>731520</wp:posOffset>
            </wp:positionV>
            <wp:extent cx="4343400" cy="1837944"/>
            <wp:effectExtent l="0" t="0" r="0" b="0"/>
            <wp:wrapSquare wrapText="bothSides"/>
            <wp:docPr id="12" name="Picture 25" descr="Description: Description: 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logo-new.jpg"/>
                    <pic:cNvPicPr>
                      <a:picLocks noChangeAspect="1" noChangeArrowheads="1"/>
                    </pic:cNvPicPr>
                  </pic:nvPicPr>
                  <pic:blipFill>
                    <a:blip r:embed="rId8">
                      <a:extLst>
                        <a:ext uri="{28A0092B-C50C-407E-A947-70E740481C1C}">
                          <a14:useLocalDpi xmlns:a14="http://schemas.microsoft.com/office/drawing/2010/main" val="0"/>
                        </a:ext>
                      </a:extLst>
                    </a:blip>
                    <a:srcRect l="-9354" r="-8589"/>
                    <a:stretch>
                      <a:fillRect/>
                    </a:stretch>
                  </pic:blipFill>
                  <pic:spPr bwMode="auto">
                    <a:xfrm>
                      <a:off x="0" y="0"/>
                      <a:ext cx="4343400" cy="18379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tbl>
      <w:tblPr>
        <w:tblpPr w:vertAnchor="text" w:horzAnchor="page" w:tblpXSpec="center" w:tblpY="1"/>
        <w:tblOverlap w:val="never"/>
        <w:tblW w:w="10359" w:type="dxa"/>
        <w:tblLayout w:type="fixed"/>
        <w:tblLook w:val="04A0" w:firstRow="1" w:lastRow="0" w:firstColumn="1" w:lastColumn="0" w:noHBand="0" w:noVBand="1"/>
      </w:tblPr>
      <w:tblGrid>
        <w:gridCol w:w="1436"/>
        <w:gridCol w:w="2448"/>
        <w:gridCol w:w="5040"/>
        <w:gridCol w:w="1435"/>
      </w:tblGrid>
      <w:tr w:rsidR="00A94EE2" w:rsidRPr="004B1284" w:rsidTr="00311E08">
        <w:trPr>
          <w:trHeight w:val="864"/>
        </w:trPr>
        <w:tc>
          <w:tcPr>
            <w:tcW w:w="1436" w:type="dxa"/>
            <w:shd w:val="clear" w:color="auto" w:fill="auto"/>
            <w:vAlign w:val="center"/>
          </w:tcPr>
          <w:p w:rsidR="00A94EE2" w:rsidRPr="004B1284" w:rsidRDefault="00A94EE2" w:rsidP="00311E08">
            <w:pPr>
              <w:rPr>
                <w:rFonts w:cs="Arial"/>
              </w:rPr>
            </w:pPr>
          </w:p>
        </w:tc>
        <w:tc>
          <w:tcPr>
            <w:tcW w:w="7488" w:type="dxa"/>
            <w:gridSpan w:val="2"/>
            <w:tcBorders>
              <w:bottom w:val="thinThickLargeGap" w:sz="24" w:space="0" w:color="002060"/>
            </w:tcBorders>
            <w:shd w:val="clear" w:color="auto" w:fill="auto"/>
            <w:tcMar>
              <w:left w:w="0" w:type="dxa"/>
              <w:right w:w="0" w:type="dxa"/>
            </w:tcMar>
            <w:vAlign w:val="center"/>
          </w:tcPr>
          <w:p w:rsidR="00A94EE2" w:rsidRPr="004B1284" w:rsidRDefault="00A94EE2" w:rsidP="00311E08">
            <w:pPr>
              <w:jc w:val="center"/>
              <w:rPr>
                <w:iCs/>
                <w:color w:val="002060"/>
                <w:sz w:val="44"/>
                <w:szCs w:val="44"/>
              </w:rPr>
            </w:pPr>
            <w:r>
              <w:rPr>
                <w:iCs/>
                <w:color w:val="002060"/>
                <w:sz w:val="44"/>
                <w:szCs w:val="44"/>
              </w:rPr>
              <w:t>Public Disclosure of Student Learning</w:t>
            </w:r>
          </w:p>
        </w:tc>
        <w:tc>
          <w:tcPr>
            <w:tcW w:w="1435" w:type="dxa"/>
            <w:shd w:val="clear" w:color="auto" w:fill="auto"/>
            <w:vAlign w:val="center"/>
          </w:tcPr>
          <w:p w:rsidR="00A94EE2" w:rsidRPr="004B1284" w:rsidRDefault="00A94EE2" w:rsidP="00311E08">
            <w:pPr>
              <w:rPr>
                <w:rFonts w:cs="Arial"/>
              </w:rPr>
            </w:pPr>
          </w:p>
        </w:tc>
      </w:tr>
      <w:tr w:rsidR="00A94EE2" w:rsidRPr="004B1284" w:rsidTr="00311E08">
        <w:trPr>
          <w:trHeight w:val="576"/>
        </w:trPr>
        <w:tc>
          <w:tcPr>
            <w:tcW w:w="1436" w:type="dxa"/>
            <w:shd w:val="clear" w:color="auto" w:fill="auto"/>
            <w:vAlign w:val="center"/>
          </w:tcPr>
          <w:p w:rsidR="00A94EE2" w:rsidRPr="004B1284" w:rsidRDefault="00A94EE2" w:rsidP="00311E08">
            <w:pPr>
              <w:rPr>
                <w:rFonts w:cs="Arial"/>
              </w:rPr>
            </w:pPr>
          </w:p>
        </w:tc>
        <w:tc>
          <w:tcPr>
            <w:tcW w:w="2448" w:type="dxa"/>
            <w:tcBorders>
              <w:top w:val="thinThickLargeGap" w:sz="24" w:space="0" w:color="002060"/>
            </w:tcBorders>
            <w:shd w:val="clear" w:color="auto" w:fill="auto"/>
            <w:tcMar>
              <w:left w:w="0" w:type="dxa"/>
              <w:right w:w="0" w:type="dxa"/>
            </w:tcMar>
            <w:vAlign w:val="bottom"/>
          </w:tcPr>
          <w:p w:rsidR="00A94EE2" w:rsidRPr="004B1284" w:rsidRDefault="00A94EE2" w:rsidP="00311E08">
            <w:pPr>
              <w:rPr>
                <w:rFonts w:cs="Arial"/>
                <w:color w:val="002060"/>
                <w:sz w:val="24"/>
                <w:szCs w:val="24"/>
              </w:rPr>
            </w:pPr>
            <w:r w:rsidRPr="004B1284">
              <w:rPr>
                <w:rFonts w:cs="Arial"/>
                <w:color w:val="002060"/>
                <w:sz w:val="24"/>
                <w:szCs w:val="24"/>
              </w:rPr>
              <w:t>Institution</w:t>
            </w:r>
          </w:p>
        </w:tc>
        <w:tc>
          <w:tcPr>
            <w:tcW w:w="5040" w:type="dxa"/>
            <w:tcBorders>
              <w:top w:val="thinThickLargeGap" w:sz="24" w:space="0" w:color="002060"/>
              <w:bottom w:val="single" w:sz="4" w:space="0" w:color="002060"/>
            </w:tcBorders>
            <w:shd w:val="clear" w:color="auto" w:fill="auto"/>
            <w:vAlign w:val="bottom"/>
          </w:tcPr>
          <w:p w:rsidR="00A94EE2" w:rsidRPr="004B1284" w:rsidRDefault="002E4579" w:rsidP="00311E08">
            <w:pPr>
              <w:rPr>
                <w:rFonts w:cs="Arial"/>
                <w:color w:val="002060"/>
              </w:rPr>
            </w:pPr>
            <w:r>
              <w:rPr>
                <w:rFonts w:cs="Arial"/>
                <w:color w:val="002060"/>
              </w:rPr>
              <w:t>Daemen College</w:t>
            </w:r>
          </w:p>
        </w:tc>
        <w:tc>
          <w:tcPr>
            <w:tcW w:w="1435" w:type="dxa"/>
            <w:shd w:val="clear" w:color="auto" w:fill="auto"/>
            <w:vAlign w:val="center"/>
          </w:tcPr>
          <w:p w:rsidR="00A94EE2" w:rsidRPr="004B1284" w:rsidRDefault="00A94EE2" w:rsidP="00311E08">
            <w:pPr>
              <w:rPr>
                <w:rFonts w:cs="Arial"/>
              </w:rPr>
            </w:pPr>
          </w:p>
        </w:tc>
      </w:tr>
      <w:tr w:rsidR="00A94EE2" w:rsidRPr="004B1284" w:rsidTr="00311E08">
        <w:trPr>
          <w:trHeight w:val="576"/>
        </w:trPr>
        <w:tc>
          <w:tcPr>
            <w:tcW w:w="1436" w:type="dxa"/>
            <w:shd w:val="clear" w:color="auto" w:fill="auto"/>
            <w:vAlign w:val="center"/>
          </w:tcPr>
          <w:p w:rsidR="00A94EE2" w:rsidRPr="004B1284" w:rsidRDefault="00A94EE2" w:rsidP="00311E08">
            <w:pPr>
              <w:rPr>
                <w:rFonts w:cs="Arial"/>
              </w:rPr>
            </w:pPr>
          </w:p>
        </w:tc>
        <w:tc>
          <w:tcPr>
            <w:tcW w:w="2448" w:type="dxa"/>
            <w:shd w:val="clear" w:color="auto" w:fill="auto"/>
            <w:tcMar>
              <w:left w:w="0" w:type="dxa"/>
              <w:right w:w="0" w:type="dxa"/>
            </w:tcMar>
            <w:vAlign w:val="bottom"/>
          </w:tcPr>
          <w:p w:rsidR="00A94EE2" w:rsidRPr="004B1284" w:rsidRDefault="00A94EE2" w:rsidP="00311E08">
            <w:pPr>
              <w:rPr>
                <w:rFonts w:cs="Arial"/>
                <w:color w:val="002060"/>
                <w:sz w:val="24"/>
                <w:szCs w:val="24"/>
              </w:rPr>
            </w:pPr>
            <w:r>
              <w:rPr>
                <w:rFonts w:cs="Arial"/>
                <w:color w:val="002060"/>
                <w:sz w:val="24"/>
                <w:szCs w:val="24"/>
              </w:rPr>
              <w:t>Academic Business Unit</w:t>
            </w:r>
          </w:p>
        </w:tc>
        <w:tc>
          <w:tcPr>
            <w:tcW w:w="5040" w:type="dxa"/>
            <w:tcBorders>
              <w:bottom w:val="single" w:sz="2" w:space="0" w:color="auto"/>
            </w:tcBorders>
            <w:shd w:val="clear" w:color="auto" w:fill="auto"/>
            <w:vAlign w:val="bottom"/>
          </w:tcPr>
          <w:p w:rsidR="00A94EE2" w:rsidRPr="00901244" w:rsidRDefault="004144B7" w:rsidP="004144B7">
            <w:pPr>
              <w:rPr>
                <w:rFonts w:cs="Arial"/>
                <w:color w:val="002060"/>
              </w:rPr>
            </w:pPr>
            <w:r>
              <w:rPr>
                <w:rFonts w:cs="Arial"/>
                <w:color w:val="002060"/>
              </w:rPr>
              <w:t>B.S./M.S. Professional Accountancy</w:t>
            </w:r>
          </w:p>
        </w:tc>
        <w:tc>
          <w:tcPr>
            <w:tcW w:w="1435" w:type="dxa"/>
            <w:shd w:val="clear" w:color="auto" w:fill="auto"/>
            <w:vAlign w:val="center"/>
          </w:tcPr>
          <w:p w:rsidR="00A94EE2" w:rsidRPr="004B1284" w:rsidRDefault="00A94EE2" w:rsidP="00311E08">
            <w:pPr>
              <w:rPr>
                <w:rFonts w:cs="Arial"/>
              </w:rPr>
            </w:pPr>
          </w:p>
        </w:tc>
      </w:tr>
      <w:tr w:rsidR="00A94EE2" w:rsidRPr="004B1284" w:rsidTr="00311E08">
        <w:trPr>
          <w:trHeight w:val="576"/>
        </w:trPr>
        <w:tc>
          <w:tcPr>
            <w:tcW w:w="1436" w:type="dxa"/>
            <w:shd w:val="clear" w:color="auto" w:fill="auto"/>
            <w:vAlign w:val="center"/>
          </w:tcPr>
          <w:p w:rsidR="00A94EE2" w:rsidRPr="004B1284" w:rsidRDefault="00A94EE2" w:rsidP="00311E08">
            <w:pPr>
              <w:rPr>
                <w:rFonts w:cs="Arial"/>
              </w:rPr>
            </w:pPr>
          </w:p>
        </w:tc>
        <w:tc>
          <w:tcPr>
            <w:tcW w:w="2448" w:type="dxa"/>
            <w:shd w:val="clear" w:color="auto" w:fill="auto"/>
            <w:tcMar>
              <w:left w:w="0" w:type="dxa"/>
              <w:right w:w="0" w:type="dxa"/>
            </w:tcMar>
            <w:vAlign w:val="bottom"/>
          </w:tcPr>
          <w:p w:rsidR="00A94EE2" w:rsidRPr="004B1284" w:rsidRDefault="00A94EE2" w:rsidP="00311E08">
            <w:pPr>
              <w:rPr>
                <w:rFonts w:cs="Arial"/>
                <w:color w:val="002060"/>
                <w:sz w:val="24"/>
                <w:szCs w:val="24"/>
              </w:rPr>
            </w:pPr>
            <w:r>
              <w:rPr>
                <w:rFonts w:cs="Arial"/>
                <w:color w:val="002060"/>
                <w:sz w:val="24"/>
                <w:szCs w:val="24"/>
              </w:rPr>
              <w:t>Academic Year</w:t>
            </w:r>
          </w:p>
        </w:tc>
        <w:tc>
          <w:tcPr>
            <w:tcW w:w="5040" w:type="dxa"/>
            <w:tcBorders>
              <w:top w:val="single" w:sz="2" w:space="0" w:color="auto"/>
              <w:bottom w:val="single" w:sz="2" w:space="0" w:color="auto"/>
            </w:tcBorders>
            <w:shd w:val="clear" w:color="auto" w:fill="auto"/>
            <w:vAlign w:val="bottom"/>
          </w:tcPr>
          <w:p w:rsidR="00A94EE2" w:rsidRPr="004B1284" w:rsidRDefault="002E4579" w:rsidP="00311E08">
            <w:pPr>
              <w:rPr>
                <w:rFonts w:cs="Arial"/>
                <w:color w:val="002060"/>
              </w:rPr>
            </w:pPr>
            <w:r>
              <w:rPr>
                <w:rFonts w:cs="Arial"/>
                <w:color w:val="002060"/>
              </w:rPr>
              <w:t>2015-16</w:t>
            </w:r>
          </w:p>
        </w:tc>
        <w:tc>
          <w:tcPr>
            <w:tcW w:w="1435" w:type="dxa"/>
            <w:shd w:val="clear" w:color="auto" w:fill="auto"/>
            <w:vAlign w:val="center"/>
          </w:tcPr>
          <w:p w:rsidR="00A94EE2" w:rsidRPr="004B1284" w:rsidRDefault="00A94EE2" w:rsidP="00311E08">
            <w:pPr>
              <w:rPr>
                <w:rFonts w:cs="Arial"/>
              </w:rPr>
            </w:pPr>
          </w:p>
        </w:tc>
      </w:tr>
      <w:tr w:rsidR="00A94EE2" w:rsidRPr="004B1284" w:rsidTr="00311E08">
        <w:trPr>
          <w:trHeight w:val="144"/>
        </w:trPr>
        <w:tc>
          <w:tcPr>
            <w:tcW w:w="1436" w:type="dxa"/>
            <w:shd w:val="clear" w:color="auto" w:fill="auto"/>
            <w:vAlign w:val="center"/>
          </w:tcPr>
          <w:p w:rsidR="00A94EE2" w:rsidRPr="004B1284" w:rsidRDefault="00A94EE2" w:rsidP="00311E08">
            <w:pPr>
              <w:rPr>
                <w:rFonts w:cs="Arial"/>
              </w:rPr>
            </w:pPr>
          </w:p>
        </w:tc>
        <w:tc>
          <w:tcPr>
            <w:tcW w:w="2448" w:type="dxa"/>
            <w:tcBorders>
              <w:bottom w:val="thickThinLargeGap" w:sz="24" w:space="0" w:color="002060"/>
            </w:tcBorders>
            <w:shd w:val="clear" w:color="auto" w:fill="auto"/>
            <w:vAlign w:val="bottom"/>
          </w:tcPr>
          <w:p w:rsidR="00A94EE2" w:rsidRPr="004B1284" w:rsidRDefault="00A94EE2" w:rsidP="00311E08">
            <w:pPr>
              <w:rPr>
                <w:rFonts w:cs="Arial"/>
                <w:color w:val="002060"/>
                <w:sz w:val="24"/>
                <w:szCs w:val="24"/>
              </w:rPr>
            </w:pPr>
          </w:p>
        </w:tc>
        <w:tc>
          <w:tcPr>
            <w:tcW w:w="5040" w:type="dxa"/>
            <w:tcBorders>
              <w:top w:val="single" w:sz="2" w:space="0" w:color="auto"/>
              <w:bottom w:val="thickThinLargeGap" w:sz="24" w:space="0" w:color="002060"/>
            </w:tcBorders>
            <w:shd w:val="clear" w:color="auto" w:fill="auto"/>
            <w:vAlign w:val="bottom"/>
          </w:tcPr>
          <w:p w:rsidR="00A94EE2" w:rsidRPr="004B1284" w:rsidRDefault="00A94EE2" w:rsidP="00311E08">
            <w:pPr>
              <w:rPr>
                <w:rFonts w:cs="Arial"/>
                <w:color w:val="002060"/>
                <w:sz w:val="24"/>
                <w:szCs w:val="24"/>
              </w:rPr>
            </w:pPr>
          </w:p>
        </w:tc>
        <w:tc>
          <w:tcPr>
            <w:tcW w:w="1435" w:type="dxa"/>
            <w:shd w:val="clear" w:color="auto" w:fill="auto"/>
            <w:vAlign w:val="center"/>
          </w:tcPr>
          <w:p w:rsidR="00A94EE2" w:rsidRPr="004B1284" w:rsidRDefault="00A94EE2" w:rsidP="00311E08">
            <w:pPr>
              <w:rPr>
                <w:rFonts w:cs="Arial"/>
              </w:rPr>
            </w:pPr>
          </w:p>
        </w:tc>
      </w:tr>
    </w:tbl>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Default="004977EA" w:rsidP="004977EA"/>
    <w:p w:rsidR="004977EA" w:rsidRPr="004977EA" w:rsidRDefault="004977EA" w:rsidP="004977EA">
      <w:pPr>
        <w:rPr>
          <w:sz w:val="48"/>
          <w:szCs w:val="48"/>
        </w:rPr>
      </w:pPr>
    </w:p>
    <w:p w:rsidR="004977EA" w:rsidRDefault="00311E08" w:rsidP="004977EA">
      <w:r>
        <w:rPr>
          <w:noProof/>
        </w:rPr>
        <mc:AlternateContent>
          <mc:Choice Requires="wps">
            <w:drawing>
              <wp:anchor distT="0" distB="0" distL="114300" distR="114300" simplePos="0" relativeHeight="251665920" behindDoc="0" locked="0" layoutInCell="0" allowOverlap="1" wp14:anchorId="1CC4335E" wp14:editId="2DF357BE">
                <wp:simplePos x="0" y="0"/>
                <wp:positionH relativeFrom="page">
                  <wp:posOffset>368300</wp:posOffset>
                </wp:positionH>
                <wp:positionV relativeFrom="page">
                  <wp:posOffset>9251950</wp:posOffset>
                </wp:positionV>
                <wp:extent cx="7031736" cy="434975"/>
                <wp:effectExtent l="0" t="0" r="0" b="317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1736" cy="434975"/>
                        </a:xfrm>
                        <a:prstGeom prst="rect">
                          <a:avLst/>
                        </a:prstGeom>
                        <a:solidFill>
                          <a:srgbClr val="002060"/>
                        </a:solidFill>
                        <a:ln w="12700">
                          <a:noFill/>
                          <a:miter lim="800000"/>
                          <a:headEnd/>
                          <a:tailEnd/>
                        </a:ln>
                        <a:effectLst/>
                        <a:extLst/>
                      </wps:spPr>
                      <wps:txbx>
                        <w:txbxContent>
                          <w:p w:rsidR="002354F9" w:rsidRPr="00311E08" w:rsidRDefault="002354F9" w:rsidP="00393CB2">
                            <w:pPr>
                              <w:pStyle w:val="NoSpacing"/>
                              <w:jc w:val="center"/>
                              <w:rPr>
                                <w:rFonts w:ascii="Cambria" w:hAnsi="Cambria"/>
                                <w:b/>
                                <w:bCs/>
                                <w:color w:val="FFFFFF"/>
                                <w:sz w:val="28"/>
                                <w:szCs w:val="28"/>
                              </w:rPr>
                            </w:pPr>
                            <w:r w:rsidRPr="00311E08">
                              <w:rPr>
                                <w:rFonts w:ascii="Cambria" w:hAnsi="Cambria"/>
                                <w:b/>
                                <w:bCs/>
                                <w:color w:val="FFFFFF"/>
                                <w:sz w:val="28"/>
                                <w:szCs w:val="28"/>
                              </w:rPr>
                              <w:t>International Assembly for Collegiate Business Education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C4335E" id="Rectangle 90" o:spid="_x0000_s1026" style="position:absolute;margin-left:29pt;margin-top:728.5pt;width:553.7pt;height:34.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" o:allowincell="f" fillcolor="#002060" stroked="f" strokeweight="1pt">
                <v:textbox inset="0,0,0,0">
                  <w:txbxContent>
                    <w:p w:rsidR="002354F9" w:rsidRPr="00311E08" w:rsidRDefault="002354F9" w:rsidP="00393CB2">
                      <w:pPr>
                        <w:pStyle w:val="NoSpacing"/>
                        <w:jc w:val="center"/>
                        <w:rPr>
                          <w:rFonts w:ascii="Cambria" w:hAnsi="Cambria"/>
                          <w:b/>
                          <w:bCs/>
                          <w:color w:val="FFFFFF"/>
                          <w:sz w:val="28"/>
                          <w:szCs w:val="28"/>
                        </w:rPr>
                      </w:pPr>
                      <w:r w:rsidRPr="00311E08">
                        <w:rPr>
                          <w:rFonts w:ascii="Cambria" w:hAnsi="Cambria"/>
                          <w:b/>
                          <w:bCs/>
                          <w:color w:val="FFFFFF"/>
                          <w:sz w:val="28"/>
                          <w:szCs w:val="28"/>
                        </w:rPr>
                        <w:t>International Assembly for Collegiate Business Education</w:t>
                      </w:r>
                    </w:p>
                  </w:txbxContent>
                </v:textbox>
                <w10:wrap anchorx="page" anchory="page"/>
              </v:rect>
            </w:pict>
          </mc:Fallback>
        </mc:AlternateContent>
      </w:r>
    </w:p>
    <w:p w:rsidR="004977EA" w:rsidRDefault="004977EA" w:rsidP="004977EA">
      <w:pPr>
        <w:pStyle w:val="Heading1"/>
        <w:sectPr w:rsidR="004977EA" w:rsidSect="00311E08">
          <w:footerReference w:type="default" r:id="rId9"/>
          <w:footerReference w:type="first" r:id="rId10"/>
          <w:pgSz w:w="12240" w:h="15840"/>
          <w:pgMar w:top="1440" w:right="1440" w:bottom="720" w:left="1440" w:header="720" w:footer="720" w:gutter="0"/>
          <w:pgBorders w:display="firstPage" w:offsetFrom="page">
            <w:top w:val="thinThickSmallGap" w:sz="36" w:space="24" w:color="002060"/>
            <w:left w:val="thinThickSmallGap" w:sz="36" w:space="24" w:color="002060"/>
            <w:bottom w:val="thickThinSmallGap" w:sz="36" w:space="24" w:color="002060"/>
            <w:right w:val="thickThinSmallGap" w:sz="36" w:space="24" w:color="002060"/>
          </w:pgBorders>
          <w:pgNumType w:fmt="lowerRoman" w:start="0"/>
          <w:cols w:space="720"/>
          <w:titlePg/>
          <w:docGrid w:linePitch="360"/>
        </w:sectPr>
      </w:pPr>
    </w:p>
    <w:p w:rsidR="00A22A67" w:rsidRPr="00A22A67" w:rsidRDefault="00A22A67" w:rsidP="00A22A67">
      <w:pPr>
        <w:pStyle w:val="Caption"/>
        <w:spacing w:before="0" w:after="0"/>
        <w:ind w:left="0"/>
        <w:jc w:val="center"/>
        <w:rPr>
          <w:rFonts w:ascii="Calibri" w:hAnsi="Calibri" w:cs="Calibri"/>
          <w:sz w:val="28"/>
          <w:szCs w:val="28"/>
        </w:rPr>
      </w:pPr>
      <w:bookmarkStart w:id="0" w:name="_Toc299969091"/>
      <w:bookmarkStart w:id="1" w:name="_Toc301161664"/>
      <w:r w:rsidRPr="00A22A67">
        <w:rPr>
          <w:rFonts w:ascii="Calibri" w:hAnsi="Calibri" w:cs="Calibri"/>
          <w:sz w:val="28"/>
          <w:szCs w:val="28"/>
        </w:rPr>
        <w:lastRenderedPageBreak/>
        <w:t>Report of Student Learning and Achievement</w:t>
      </w:r>
    </w:p>
    <w:p w:rsidR="00A22A67" w:rsidRDefault="00213E7E" w:rsidP="00A22A67">
      <w:pPr>
        <w:jc w:val="center"/>
        <w:rPr>
          <w:b/>
          <w:i/>
          <w:sz w:val="26"/>
          <w:szCs w:val="26"/>
        </w:rPr>
      </w:pPr>
      <w:r>
        <w:rPr>
          <w:b/>
          <w:i/>
          <w:sz w:val="26"/>
          <w:szCs w:val="26"/>
        </w:rPr>
        <w:t>Daemen College</w:t>
      </w:r>
      <w:bookmarkStart w:id="2" w:name="_GoBack"/>
      <w:bookmarkEnd w:id="2"/>
    </w:p>
    <w:p w:rsidR="00A22A67" w:rsidRPr="0010206B" w:rsidRDefault="00FB54D6" w:rsidP="00A22A67">
      <w:pPr>
        <w:pStyle w:val="Heading9"/>
        <w:ind w:left="0"/>
        <w:rPr>
          <w:rFonts w:ascii="Calibri" w:hAnsi="Calibri" w:cs="Calibri"/>
          <w:i/>
          <w:sz w:val="26"/>
          <w:szCs w:val="26"/>
        </w:rPr>
      </w:pPr>
      <w:r>
        <w:rPr>
          <w:rFonts w:ascii="Calibri" w:hAnsi="Calibri" w:cs="Calibri"/>
          <w:i/>
          <w:sz w:val="26"/>
          <w:szCs w:val="26"/>
        </w:rPr>
        <w:t>Accounting</w:t>
      </w:r>
    </w:p>
    <w:p w:rsidR="00A22A67" w:rsidRPr="004B349A" w:rsidRDefault="00A22A67" w:rsidP="00A22A67"/>
    <w:tbl>
      <w:tblPr>
        <w:tblW w:w="0" w:type="auto"/>
        <w:jc w:val="center"/>
        <w:tblLook w:val="01E0" w:firstRow="1" w:lastRow="1" w:firstColumn="1" w:lastColumn="1" w:noHBand="0" w:noVBand="0"/>
      </w:tblPr>
      <w:tblGrid>
        <w:gridCol w:w="2016"/>
        <w:gridCol w:w="1440"/>
      </w:tblGrid>
      <w:tr w:rsidR="00A22A67" w:rsidRPr="00D65EEF" w:rsidTr="00FC10F1">
        <w:trPr>
          <w:jc w:val="center"/>
        </w:trPr>
        <w:tc>
          <w:tcPr>
            <w:tcW w:w="2016" w:type="dxa"/>
            <w:tcMar>
              <w:left w:w="0" w:type="dxa"/>
              <w:right w:w="0" w:type="dxa"/>
            </w:tcMar>
            <w:vAlign w:val="center"/>
          </w:tcPr>
          <w:p w:rsidR="00A22A67" w:rsidRPr="00A22A67" w:rsidRDefault="00A22A67" w:rsidP="00FC10F1">
            <w:pPr>
              <w:rPr>
                <w:rFonts w:cs="Calibri"/>
                <w:b/>
              </w:rPr>
            </w:pPr>
            <w:r w:rsidRPr="00A22A67">
              <w:rPr>
                <w:rFonts w:cs="Calibri"/>
                <w:b/>
              </w:rPr>
              <w:t>For Academic Year:</w:t>
            </w:r>
          </w:p>
        </w:tc>
        <w:tc>
          <w:tcPr>
            <w:tcW w:w="1440" w:type="dxa"/>
            <w:tcBorders>
              <w:bottom w:val="single" w:sz="4" w:space="0" w:color="auto"/>
            </w:tcBorders>
            <w:vAlign w:val="center"/>
          </w:tcPr>
          <w:p w:rsidR="00A22A67" w:rsidRPr="00A22A67" w:rsidRDefault="002E4579" w:rsidP="00FC10F1">
            <w:pPr>
              <w:jc w:val="center"/>
              <w:rPr>
                <w:rFonts w:cs="Calibri"/>
              </w:rPr>
            </w:pPr>
            <w:r>
              <w:rPr>
                <w:rFonts w:cs="Calibri"/>
              </w:rPr>
              <w:t>2015-16</w:t>
            </w:r>
          </w:p>
        </w:tc>
      </w:tr>
    </w:tbl>
    <w:p w:rsidR="00A22A67" w:rsidRDefault="00A22A67" w:rsidP="00A22A67">
      <w:pPr>
        <w:pStyle w:val="Heading9"/>
        <w:ind w:left="0"/>
        <w:rPr>
          <w:sz w:val="24"/>
          <w:szCs w:val="24"/>
        </w:rPr>
      </w:pP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6"/>
      </w:tblGrid>
      <w:tr w:rsidR="00A22A67" w:rsidRPr="00D65EEF" w:rsidTr="00FC10F1">
        <w:trPr>
          <w:jc w:val="center"/>
        </w:trPr>
        <w:tc>
          <w:tcPr>
            <w:tcW w:w="13536" w:type="dxa"/>
            <w:shd w:val="clear" w:color="auto" w:fill="DBE5F1"/>
            <w:vAlign w:val="center"/>
          </w:tcPr>
          <w:p w:rsidR="00A22A67" w:rsidRPr="00A22A67" w:rsidRDefault="00377427" w:rsidP="00FB54D6">
            <w:pPr>
              <w:spacing w:before="60" w:after="60"/>
              <w:jc w:val="center"/>
              <w:rPr>
                <w:rFonts w:cs="Calibri"/>
                <w:b/>
              </w:rPr>
            </w:pPr>
            <w:r>
              <w:rPr>
                <w:rFonts w:cs="Calibri"/>
                <w:b/>
              </w:rPr>
              <w:t>Mission of</w:t>
            </w:r>
            <w:r w:rsidR="00A22A67" w:rsidRPr="00A22A67">
              <w:rPr>
                <w:rFonts w:cs="Calibri"/>
                <w:b/>
              </w:rPr>
              <w:t xml:space="preserve"> </w:t>
            </w:r>
            <w:r w:rsidR="00FB54D6">
              <w:rPr>
                <w:rFonts w:cs="Calibri"/>
                <w:b/>
              </w:rPr>
              <w:t>Accounting</w:t>
            </w:r>
          </w:p>
        </w:tc>
      </w:tr>
      <w:tr w:rsidR="00A22A67" w:rsidRPr="00D65EEF" w:rsidTr="007547E7">
        <w:trPr>
          <w:trHeight w:val="1152"/>
          <w:jc w:val="center"/>
        </w:trPr>
        <w:tc>
          <w:tcPr>
            <w:tcW w:w="13536" w:type="dxa"/>
            <w:shd w:val="clear" w:color="auto" w:fill="auto"/>
            <w:tcMar>
              <w:left w:w="115" w:type="dxa"/>
              <w:right w:w="115" w:type="dxa"/>
            </w:tcMar>
          </w:tcPr>
          <w:p w:rsidR="00973EDE" w:rsidRPr="006E73DE" w:rsidRDefault="00973EDE" w:rsidP="00973EDE">
            <w:pPr>
              <w:jc w:val="center"/>
              <w:rPr>
                <w:b/>
                <w:sz w:val="24"/>
                <w:u w:val="single"/>
              </w:rPr>
            </w:pPr>
            <w:r w:rsidRPr="006E73DE">
              <w:rPr>
                <w:b/>
                <w:sz w:val="24"/>
                <w:u w:val="single"/>
              </w:rPr>
              <w:t xml:space="preserve">Overview of Undergraduate Accounting Program Mission Statement </w:t>
            </w:r>
          </w:p>
          <w:p w:rsidR="00973EDE" w:rsidRPr="00D973BD" w:rsidRDefault="00973EDE" w:rsidP="00973EDE">
            <w:r>
              <w:t xml:space="preserve">The undergraduate missions of the Accounting and Business Departments were reviewed, updated, and approved during the 2013 strategic review process by the faculty members of each department. Our review process was designed to reflect on our mission and ensure that departmental missions and goals align with the Daemen College’s student-focused mission. </w:t>
            </w:r>
            <w:r w:rsidRPr="00D973BD">
              <w:t>The Professional Accountancy BS/MS program utilizes the undergraduate mission as its core because the majority of hours are earned as an undergraduate, the College’s Graduate Mission does not conflict or contradict the Undergraduate Mission, and it is a linked program that does not have a standalone MS component.</w:t>
            </w:r>
            <w:r>
              <w:t xml:space="preserve">  </w:t>
            </w:r>
          </w:p>
          <w:p w:rsidR="00973EDE" w:rsidRDefault="00973EDE" w:rsidP="00973EDE">
            <w:pPr>
              <w:jc w:val="center"/>
              <w:rPr>
                <w:b/>
                <w:sz w:val="24"/>
                <w:u w:val="single"/>
              </w:rPr>
            </w:pPr>
          </w:p>
          <w:p w:rsidR="00973EDE" w:rsidRPr="006E73DE" w:rsidRDefault="00973EDE" w:rsidP="00973EDE">
            <w:pPr>
              <w:jc w:val="center"/>
              <w:rPr>
                <w:b/>
                <w:sz w:val="24"/>
                <w:u w:val="single"/>
              </w:rPr>
            </w:pPr>
            <w:r w:rsidRPr="006E73DE">
              <w:rPr>
                <w:b/>
                <w:sz w:val="24"/>
                <w:u w:val="single"/>
              </w:rPr>
              <w:t>Accounting Department Mission</w:t>
            </w:r>
          </w:p>
          <w:p w:rsidR="00973EDE" w:rsidRPr="0036279F" w:rsidRDefault="00973EDE" w:rsidP="00973EDE">
            <w:pPr>
              <w:spacing w:after="225"/>
              <w:rPr>
                <w:color w:val="1B1B1B"/>
              </w:rPr>
            </w:pPr>
            <w:r w:rsidRPr="0036279F">
              <w:rPr>
                <w:color w:val="1B1B1B"/>
              </w:rPr>
              <w:t>Consistent with the mission of Daemen College, the Accounting Degree philosophy embodies the ideals of elevating human dignity and fostering civic responsibility in a global perspective. Central to this will be the strong relationship between the department faculty and its students. The curriculum integrates the intellectual qualities acquired through study of the liberal arts with the education necessary for professional accomplishment.</w:t>
            </w:r>
          </w:p>
          <w:p w:rsidR="00973EDE" w:rsidRPr="0036279F" w:rsidRDefault="00973EDE" w:rsidP="00973EDE">
            <w:pPr>
              <w:spacing w:after="225"/>
              <w:rPr>
                <w:color w:val="1B1B1B"/>
              </w:rPr>
            </w:pPr>
            <w:r w:rsidRPr="0036279F">
              <w:rPr>
                <w:color w:val="1B1B1B"/>
              </w:rPr>
              <w:t xml:space="preserve">The accounting degree is a professional degree registered with the New York State Board of Accountancy. As a </w:t>
            </w:r>
            <w:proofErr w:type="gramStart"/>
            <w:r w:rsidRPr="0036279F">
              <w:rPr>
                <w:color w:val="1B1B1B"/>
              </w:rPr>
              <w:t>result</w:t>
            </w:r>
            <w:proofErr w:type="gramEnd"/>
            <w:r w:rsidRPr="0036279F">
              <w:rPr>
                <w:color w:val="1B1B1B"/>
              </w:rPr>
              <w:t xml:space="preserve"> its professional component is guided by attention to the AICPA Core Competency Framework. The core competencies are categorized as functional (technical competencies most closely aligned with the value contributed by the accounting professional), personal (individual attributes and values) and broad business perspective (relating to understanding of internal and external business contexts) competencies. It is a skills-based curriculum rather than knowledge-based because the body of knowledge and the accounting profession are changing so rapidly. Although knowledge requirements will change with time, the competencies will have long-term value and will support a variety of career opportunities for the future accountant.</w:t>
            </w:r>
          </w:p>
          <w:p w:rsidR="00377427" w:rsidRDefault="00973EDE" w:rsidP="00973EDE">
            <w:pPr>
              <w:rPr>
                <w:rFonts w:ascii="Times New Roman" w:hAnsi="Times New Roman"/>
                <w:color w:val="1B1B1B"/>
              </w:rPr>
            </w:pPr>
            <w:r w:rsidRPr="0036279F">
              <w:rPr>
                <w:color w:val="1B1B1B"/>
              </w:rPr>
              <w:t>The curriculum also encourages close relationships with the professional community through a series of action learning internship positions. In addition to supplementing classroom knowledge, these internships also build the student’s resume and prepare the student to assume a professional position upon graduation. The graduates of this program will be contributing, well-rounded professionals of the global community.</w:t>
            </w:r>
          </w:p>
          <w:p w:rsidR="00BF24E9" w:rsidRDefault="00BF24E9" w:rsidP="00FC10F1">
            <w:pPr>
              <w:spacing w:before="60" w:after="60"/>
              <w:rPr>
                <w:rFonts w:cs="Calibri"/>
              </w:rPr>
            </w:pPr>
          </w:p>
          <w:p w:rsidR="00FB54D6" w:rsidRPr="00A22A67" w:rsidRDefault="00FB54D6" w:rsidP="00FC10F1">
            <w:pPr>
              <w:spacing w:before="60" w:after="60"/>
              <w:rPr>
                <w:rFonts w:cs="Calibri"/>
              </w:rPr>
            </w:pPr>
          </w:p>
        </w:tc>
      </w:tr>
      <w:bookmarkEnd w:id="0"/>
      <w:bookmarkEnd w:id="1"/>
    </w:tbl>
    <w:p w:rsidR="00656740" w:rsidRPr="00A22A67" w:rsidRDefault="00656740" w:rsidP="00F15E1D">
      <w:pPr>
        <w:rPr>
          <w:rFonts w:cs="Calibri"/>
        </w:rPr>
      </w:pPr>
    </w:p>
    <w:tbl>
      <w:tblPr>
        <w:tblW w:w="135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
        <w:gridCol w:w="3744"/>
        <w:gridCol w:w="1224"/>
        <w:gridCol w:w="1224"/>
        <w:gridCol w:w="340"/>
        <w:gridCol w:w="884"/>
        <w:gridCol w:w="1224"/>
        <w:gridCol w:w="1224"/>
        <w:gridCol w:w="1224"/>
        <w:gridCol w:w="1224"/>
        <w:gridCol w:w="1217"/>
        <w:gridCol w:w="7"/>
      </w:tblGrid>
      <w:tr w:rsidR="00EA01C0" w:rsidRPr="00EA01C0" w:rsidTr="0023346B">
        <w:trPr>
          <w:gridBefore w:val="1"/>
          <w:wBefore w:w="7" w:type="dxa"/>
          <w:trHeight w:val="432"/>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002060"/>
            <w:vAlign w:val="center"/>
          </w:tcPr>
          <w:p w:rsidR="00EA01C0" w:rsidRPr="00EA01C0" w:rsidRDefault="00EA01C0" w:rsidP="004144B7">
            <w:pPr>
              <w:spacing w:before="60" w:after="60"/>
              <w:jc w:val="center"/>
              <w:rPr>
                <w:rFonts w:cs="Calibri"/>
                <w:b/>
              </w:rPr>
            </w:pPr>
            <w:r w:rsidRPr="00EA01C0">
              <w:rPr>
                <w:rFonts w:cs="Calibri"/>
                <w:b/>
              </w:rPr>
              <w:lastRenderedPageBreak/>
              <w:t>Student Learning Assessment for</w:t>
            </w:r>
            <w:r w:rsidR="004144B7">
              <w:rPr>
                <w:rFonts w:cs="Calibri"/>
                <w:b/>
                <w:i/>
              </w:rPr>
              <w:t xml:space="preserve"> B.S./M.S. Professional Accountancy</w:t>
            </w:r>
          </w:p>
        </w:tc>
      </w:tr>
      <w:tr w:rsidR="00EA01C0" w:rsidRPr="00EA01C0" w:rsidTr="0023346B">
        <w:trPr>
          <w:gridBefore w:val="1"/>
          <w:wBefore w:w="7" w:type="dxa"/>
          <w:trHeight w:val="432"/>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DBE5F1"/>
            <w:tcMar>
              <w:left w:w="115" w:type="dxa"/>
              <w:right w:w="115" w:type="dxa"/>
            </w:tcMar>
            <w:vAlign w:val="center"/>
          </w:tcPr>
          <w:p w:rsidR="00EA01C0" w:rsidRPr="00EA01C0" w:rsidRDefault="00EA01C0" w:rsidP="00EA01C0">
            <w:pPr>
              <w:spacing w:before="60" w:after="60"/>
              <w:jc w:val="center"/>
              <w:rPr>
                <w:rFonts w:cs="Calibri"/>
                <w:b/>
              </w:rPr>
            </w:pPr>
            <w:r w:rsidRPr="00EA01C0">
              <w:rPr>
                <w:rFonts w:cs="Calibri"/>
                <w:b/>
              </w:rPr>
              <w:t>Program Intended Student Learning Outcomes (Program ISLOs)</w:t>
            </w:r>
          </w:p>
        </w:tc>
      </w:tr>
      <w:tr w:rsidR="00EA01C0"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EA01C0" w:rsidRPr="003537EC" w:rsidRDefault="00EA01C0" w:rsidP="00DA714F">
            <w:pPr>
              <w:numPr>
                <w:ilvl w:val="0"/>
                <w:numId w:val="7"/>
              </w:numPr>
              <w:ind w:left="144" w:hanging="144"/>
              <w:rPr>
                <w:rFonts w:cs="Calibri"/>
              </w:rPr>
            </w:pPr>
            <w:r w:rsidRPr="00EA01C0">
              <w:rPr>
                <w:rFonts w:cs="Calibri"/>
                <w:i/>
              </w:rPr>
              <w:t>Program Learning Outcome 1</w:t>
            </w:r>
          </w:p>
          <w:p w:rsidR="003537EC" w:rsidRPr="00EA01C0" w:rsidRDefault="003537EC" w:rsidP="003537EC">
            <w:pPr>
              <w:ind w:left="144"/>
              <w:rPr>
                <w:rFonts w:cs="Calibri"/>
              </w:rPr>
            </w:pPr>
            <w:r>
              <w:rPr>
                <w:rFonts w:eastAsia="Times New Roman"/>
                <w:color w:val="1B1B1B"/>
                <w:szCs w:val="24"/>
              </w:rPr>
              <w:t>D</w:t>
            </w:r>
            <w:r w:rsidRPr="006E583E">
              <w:rPr>
                <w:rFonts w:eastAsia="Times New Roman"/>
                <w:color w:val="1B1B1B"/>
                <w:szCs w:val="24"/>
              </w:rPr>
              <w:t xml:space="preserve">emonstrating content knowledge of </w:t>
            </w:r>
            <w:r>
              <w:rPr>
                <w:rFonts w:eastAsia="Times New Roman"/>
                <w:color w:val="1B1B1B"/>
                <w:szCs w:val="24"/>
              </w:rPr>
              <w:t xml:space="preserve">the </w:t>
            </w:r>
            <w:r w:rsidRPr="006E583E">
              <w:rPr>
                <w:rFonts w:eastAsia="Times New Roman"/>
                <w:color w:val="1B1B1B"/>
                <w:szCs w:val="24"/>
              </w:rPr>
              <w:t>core business concepts, as well as specialized knowledge appropriate to the accounting profession</w:t>
            </w:r>
            <w:r>
              <w:rPr>
                <w:rFonts w:eastAsia="Times New Roman"/>
                <w:color w:val="1B1B1B"/>
                <w:szCs w:val="24"/>
              </w:rPr>
              <w:t xml:space="preserve"> to produce, </w:t>
            </w:r>
            <w:r w:rsidRPr="006E583E">
              <w:rPr>
                <w:rFonts w:eastAsia="Times New Roman"/>
                <w:color w:val="1B1B1B"/>
                <w:szCs w:val="24"/>
              </w:rPr>
              <w:t xml:space="preserve">analyze and apply financial </w:t>
            </w:r>
            <w:r>
              <w:rPr>
                <w:rFonts w:eastAsia="Times New Roman"/>
                <w:color w:val="1B1B1B"/>
                <w:szCs w:val="24"/>
              </w:rPr>
              <w:t>information for management decision-making;</w:t>
            </w:r>
          </w:p>
        </w:tc>
      </w:tr>
      <w:tr w:rsidR="00EA01C0"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EA01C0" w:rsidRPr="003537EC" w:rsidRDefault="00EA01C0" w:rsidP="00DA714F">
            <w:pPr>
              <w:numPr>
                <w:ilvl w:val="0"/>
                <w:numId w:val="7"/>
              </w:numPr>
              <w:ind w:left="144" w:hanging="144"/>
              <w:rPr>
                <w:rFonts w:cs="Calibri"/>
              </w:rPr>
            </w:pPr>
            <w:r w:rsidRPr="00EA01C0">
              <w:rPr>
                <w:rFonts w:cs="Calibri"/>
                <w:i/>
              </w:rPr>
              <w:t>Program Learning Outcome 2</w:t>
            </w:r>
          </w:p>
          <w:p w:rsidR="003537EC" w:rsidRPr="00EA01C0" w:rsidRDefault="003537EC" w:rsidP="003537EC">
            <w:pPr>
              <w:ind w:left="144"/>
              <w:rPr>
                <w:rFonts w:cs="Calibri"/>
              </w:rPr>
            </w:pPr>
            <w:r>
              <w:rPr>
                <w:rFonts w:eastAsia="Times New Roman"/>
                <w:color w:val="1B1B1B"/>
                <w:szCs w:val="24"/>
              </w:rPr>
              <w:t xml:space="preserve">Applying quantitative and technology-based </w:t>
            </w:r>
            <w:r w:rsidRPr="006E583E">
              <w:rPr>
                <w:rFonts w:eastAsia="Times New Roman"/>
                <w:color w:val="1B1B1B"/>
                <w:szCs w:val="24"/>
              </w:rPr>
              <w:t>skills to effectively</w:t>
            </w:r>
            <w:r>
              <w:rPr>
                <w:rFonts w:eastAsia="Times New Roman"/>
                <w:color w:val="1B1B1B"/>
                <w:szCs w:val="24"/>
              </w:rPr>
              <w:t xml:space="preserve"> support business decisions;</w:t>
            </w:r>
          </w:p>
        </w:tc>
      </w:tr>
      <w:tr w:rsidR="00EA01C0"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EA01C0" w:rsidRPr="003537EC" w:rsidRDefault="00EA01C0" w:rsidP="00DA714F">
            <w:pPr>
              <w:numPr>
                <w:ilvl w:val="0"/>
                <w:numId w:val="7"/>
              </w:numPr>
              <w:ind w:left="144" w:hanging="144"/>
              <w:rPr>
                <w:rFonts w:cs="Calibri"/>
              </w:rPr>
            </w:pPr>
            <w:r w:rsidRPr="00EA01C0">
              <w:rPr>
                <w:rFonts w:cs="Calibri"/>
                <w:i/>
              </w:rPr>
              <w:t>Program Learning Outcome 3</w:t>
            </w:r>
          </w:p>
          <w:p w:rsidR="003537EC" w:rsidRPr="00EA01C0" w:rsidRDefault="003537EC" w:rsidP="003537EC">
            <w:pPr>
              <w:ind w:left="144"/>
              <w:rPr>
                <w:rFonts w:cs="Calibri"/>
              </w:rPr>
            </w:pPr>
            <w:r>
              <w:rPr>
                <w:rFonts w:eastAsia="Times New Roman"/>
                <w:color w:val="1B1B1B"/>
                <w:szCs w:val="24"/>
              </w:rPr>
              <w:t>Communicating effectively within various business contexts;</w:t>
            </w:r>
          </w:p>
        </w:tc>
      </w:tr>
      <w:tr w:rsidR="00EA01C0"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EA01C0" w:rsidRPr="003537EC" w:rsidRDefault="00EA01C0" w:rsidP="00DA714F">
            <w:pPr>
              <w:numPr>
                <w:ilvl w:val="0"/>
                <w:numId w:val="7"/>
              </w:numPr>
              <w:ind w:left="144" w:hanging="144"/>
              <w:rPr>
                <w:rFonts w:cs="Calibri"/>
              </w:rPr>
            </w:pPr>
            <w:r w:rsidRPr="00EA01C0">
              <w:rPr>
                <w:rFonts w:cs="Calibri"/>
                <w:i/>
              </w:rPr>
              <w:t>Program Learning Outcome 4</w:t>
            </w:r>
          </w:p>
          <w:p w:rsidR="003537EC" w:rsidRPr="00EA01C0" w:rsidRDefault="003537EC" w:rsidP="003537EC">
            <w:pPr>
              <w:ind w:left="144"/>
              <w:rPr>
                <w:rFonts w:cs="Calibri"/>
              </w:rPr>
            </w:pPr>
            <w:r>
              <w:rPr>
                <w:rFonts w:eastAsia="Times New Roman"/>
                <w:color w:val="1B1B1B"/>
                <w:szCs w:val="24"/>
              </w:rPr>
              <w:t xml:space="preserve">Gathering information and conducting research </w:t>
            </w:r>
            <w:r w:rsidRPr="006E583E">
              <w:rPr>
                <w:rFonts w:eastAsia="Times New Roman"/>
                <w:color w:val="1B1B1B"/>
                <w:szCs w:val="24"/>
              </w:rPr>
              <w:t>necessary to access, understand, apply and communicate r</w:t>
            </w:r>
            <w:r>
              <w:rPr>
                <w:rFonts w:eastAsia="Times New Roman"/>
                <w:color w:val="1B1B1B"/>
                <w:szCs w:val="24"/>
              </w:rPr>
              <w:t>elevant accounting information;</w:t>
            </w:r>
          </w:p>
        </w:tc>
      </w:tr>
      <w:tr w:rsidR="00EA01C0"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EA01C0" w:rsidRPr="003537EC" w:rsidRDefault="00EA01C0" w:rsidP="00DA714F">
            <w:pPr>
              <w:numPr>
                <w:ilvl w:val="0"/>
                <w:numId w:val="7"/>
              </w:numPr>
              <w:ind w:left="144" w:hanging="144"/>
              <w:rPr>
                <w:rFonts w:cs="Calibri"/>
              </w:rPr>
            </w:pPr>
            <w:r w:rsidRPr="00EA01C0">
              <w:rPr>
                <w:rFonts w:cs="Calibri"/>
                <w:i/>
              </w:rPr>
              <w:t>Program Learning Outcome 5</w:t>
            </w:r>
          </w:p>
          <w:p w:rsidR="003537EC" w:rsidRPr="00EA01C0" w:rsidRDefault="003537EC" w:rsidP="003537EC">
            <w:pPr>
              <w:ind w:left="144"/>
              <w:rPr>
                <w:rFonts w:cs="Calibri"/>
              </w:rPr>
            </w:pPr>
            <w:r>
              <w:rPr>
                <w:rFonts w:cs="Calibri"/>
              </w:rPr>
              <w:t>Integrating ethical concepts to inform business decisions; and</w:t>
            </w:r>
          </w:p>
        </w:tc>
      </w:tr>
      <w:tr w:rsidR="003537EC"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3537EC" w:rsidRPr="003537EC" w:rsidRDefault="003537EC" w:rsidP="003537EC">
            <w:pPr>
              <w:numPr>
                <w:ilvl w:val="0"/>
                <w:numId w:val="7"/>
              </w:numPr>
              <w:ind w:left="144" w:hanging="144"/>
              <w:rPr>
                <w:rFonts w:cs="Calibri"/>
              </w:rPr>
            </w:pPr>
            <w:r>
              <w:rPr>
                <w:rFonts w:cs="Calibri"/>
                <w:i/>
              </w:rPr>
              <w:t>Program Learning Outcome 6</w:t>
            </w:r>
          </w:p>
          <w:p w:rsidR="003537EC" w:rsidRPr="00EA01C0" w:rsidRDefault="00790760" w:rsidP="003537EC">
            <w:pPr>
              <w:rPr>
                <w:rFonts w:cs="Calibri"/>
                <w:i/>
              </w:rPr>
            </w:pPr>
            <w:r>
              <w:rPr>
                <w:rFonts w:cs="Calibri"/>
              </w:rPr>
              <w:t>Applying knowledge of accounting and business concepts and functions in an integrated manner.</w:t>
            </w:r>
          </w:p>
        </w:tc>
      </w:tr>
      <w:tr w:rsidR="004144B7"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4144B7" w:rsidRPr="003537EC" w:rsidRDefault="004144B7" w:rsidP="004144B7">
            <w:pPr>
              <w:numPr>
                <w:ilvl w:val="0"/>
                <w:numId w:val="7"/>
              </w:numPr>
              <w:ind w:left="144" w:hanging="144"/>
              <w:rPr>
                <w:rFonts w:cs="Calibri"/>
              </w:rPr>
            </w:pPr>
            <w:r>
              <w:rPr>
                <w:rFonts w:cs="Calibri"/>
                <w:i/>
              </w:rPr>
              <w:t>Program Learning Outcome 7</w:t>
            </w:r>
          </w:p>
          <w:p w:rsidR="004144B7" w:rsidRDefault="006A3C30" w:rsidP="004144B7">
            <w:pPr>
              <w:ind w:left="144"/>
              <w:rPr>
                <w:rFonts w:cs="Calibri"/>
                <w:i/>
              </w:rPr>
            </w:pPr>
            <w:r>
              <w:t>Distinguish between alternate accounting treatments to effectively represent business transaction</w:t>
            </w:r>
          </w:p>
        </w:tc>
      </w:tr>
      <w:tr w:rsidR="004144B7"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4144B7" w:rsidRPr="003537EC" w:rsidRDefault="004144B7" w:rsidP="004144B7">
            <w:pPr>
              <w:numPr>
                <w:ilvl w:val="0"/>
                <w:numId w:val="7"/>
              </w:numPr>
              <w:ind w:left="144" w:hanging="144"/>
              <w:rPr>
                <w:rFonts w:cs="Calibri"/>
              </w:rPr>
            </w:pPr>
            <w:r>
              <w:rPr>
                <w:rFonts w:cs="Calibri"/>
                <w:i/>
              </w:rPr>
              <w:t>Program Learning Outcome 8</w:t>
            </w:r>
          </w:p>
          <w:p w:rsidR="004144B7" w:rsidRDefault="006A3C30" w:rsidP="004144B7">
            <w:pPr>
              <w:ind w:left="144"/>
              <w:rPr>
                <w:rFonts w:cs="Calibri"/>
                <w:i/>
              </w:rPr>
            </w:pPr>
            <w:r>
              <w:t xml:space="preserve">Apply </w:t>
            </w:r>
            <w:r w:rsidRPr="00CA6E75">
              <w:rPr>
                <w:rFonts w:eastAsia="Times New Roman"/>
                <w:szCs w:val="24"/>
              </w:rPr>
              <w:t>advanced accounting theories and concepts</w:t>
            </w:r>
            <w:r>
              <w:t xml:space="preserve"> </w:t>
            </w:r>
            <w:r w:rsidRPr="00CA6E75">
              <w:rPr>
                <w:rFonts w:eastAsia="Times New Roman"/>
                <w:szCs w:val="24"/>
              </w:rPr>
              <w:t>to assess and represent accounting information</w:t>
            </w:r>
          </w:p>
        </w:tc>
      </w:tr>
      <w:tr w:rsidR="004144B7"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4144B7" w:rsidRPr="003537EC" w:rsidRDefault="004144B7" w:rsidP="004144B7">
            <w:pPr>
              <w:numPr>
                <w:ilvl w:val="0"/>
                <w:numId w:val="7"/>
              </w:numPr>
              <w:ind w:left="144" w:hanging="144"/>
              <w:rPr>
                <w:rFonts w:cs="Calibri"/>
              </w:rPr>
            </w:pPr>
            <w:r>
              <w:rPr>
                <w:rFonts w:cs="Calibri"/>
                <w:i/>
              </w:rPr>
              <w:t>Program Learning Outcome 9</w:t>
            </w:r>
          </w:p>
          <w:p w:rsidR="004144B7" w:rsidRDefault="006A3C30" w:rsidP="004144B7">
            <w:pPr>
              <w:ind w:left="144"/>
              <w:rPr>
                <w:rFonts w:cs="Calibri"/>
                <w:i/>
              </w:rPr>
            </w:pPr>
            <w:r w:rsidRPr="00D50CFC">
              <w:t>Integrate</w:t>
            </w:r>
            <w:r>
              <w:t xml:space="preserve"> </w:t>
            </w:r>
            <w:r w:rsidRPr="00CA6E75">
              <w:rPr>
                <w:rFonts w:cs="Calibri"/>
              </w:rPr>
              <w:t xml:space="preserve">knowledge of accounting and business concepts </w:t>
            </w:r>
            <w:r>
              <w:t xml:space="preserve">to inform </w:t>
            </w:r>
            <w:r w:rsidRPr="00D50CFC">
              <w:t>business</w:t>
            </w:r>
            <w:r>
              <w:t xml:space="preserve"> decisions</w:t>
            </w:r>
          </w:p>
        </w:tc>
      </w:tr>
      <w:tr w:rsidR="004144B7"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4144B7" w:rsidRPr="003537EC" w:rsidRDefault="006A3C30" w:rsidP="004144B7">
            <w:pPr>
              <w:numPr>
                <w:ilvl w:val="0"/>
                <w:numId w:val="7"/>
              </w:numPr>
              <w:ind w:left="144" w:hanging="144"/>
              <w:rPr>
                <w:rFonts w:cs="Calibri"/>
              </w:rPr>
            </w:pPr>
            <w:r>
              <w:rPr>
                <w:rFonts w:cs="Calibri"/>
                <w:i/>
              </w:rPr>
              <w:t xml:space="preserve"> </w:t>
            </w:r>
            <w:r w:rsidR="004144B7">
              <w:rPr>
                <w:rFonts w:cs="Calibri"/>
                <w:i/>
              </w:rPr>
              <w:t>Program Learning Outcome 10</w:t>
            </w:r>
          </w:p>
          <w:p w:rsidR="004144B7" w:rsidRDefault="006A3C30" w:rsidP="004144B7">
            <w:pPr>
              <w:ind w:left="144"/>
              <w:rPr>
                <w:rFonts w:cs="Calibri"/>
                <w:i/>
              </w:rPr>
            </w:pPr>
            <w:r>
              <w:t>Formulate Strategies, solutions and recommendations within various business contexts</w:t>
            </w:r>
          </w:p>
        </w:tc>
      </w:tr>
      <w:tr w:rsidR="006A3C30" w:rsidRPr="00EA01C0" w:rsidTr="0023346B">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top w:w="72" w:type="dxa"/>
              <w:left w:w="115" w:type="dxa"/>
              <w:bottom w:w="72" w:type="dxa"/>
              <w:right w:w="115" w:type="dxa"/>
            </w:tcMar>
          </w:tcPr>
          <w:p w:rsidR="006A3C30" w:rsidRPr="003537EC" w:rsidRDefault="006A3C30" w:rsidP="006A3C30">
            <w:pPr>
              <w:numPr>
                <w:ilvl w:val="0"/>
                <w:numId w:val="7"/>
              </w:numPr>
              <w:ind w:left="144" w:hanging="144"/>
              <w:rPr>
                <w:rFonts w:cs="Calibri"/>
              </w:rPr>
            </w:pPr>
            <w:r>
              <w:rPr>
                <w:rFonts w:cs="Calibri"/>
                <w:i/>
              </w:rPr>
              <w:t xml:space="preserve"> Program Learning Outcome 11</w:t>
            </w:r>
          </w:p>
          <w:p w:rsidR="006A3C30" w:rsidRDefault="006A3C30" w:rsidP="006A3C30">
            <w:pPr>
              <w:ind w:left="144"/>
              <w:rPr>
                <w:rFonts w:cs="Calibri"/>
                <w:i/>
              </w:rPr>
            </w:pPr>
            <w:r w:rsidRPr="00C42E65">
              <w:rPr>
                <w:rFonts w:eastAsia="Times New Roman"/>
                <w:szCs w:val="24"/>
              </w:rPr>
              <w:t>Assess</w:t>
            </w:r>
            <w:r>
              <w:t xml:space="preserve"> </w:t>
            </w:r>
            <w:r w:rsidRPr="00C42E65">
              <w:rPr>
                <w:rFonts w:eastAsia="Times New Roman"/>
                <w:szCs w:val="24"/>
              </w:rPr>
              <w:t>accounting and business issues</w:t>
            </w:r>
            <w:r>
              <w:t xml:space="preserve"> </w:t>
            </w:r>
            <w:r w:rsidRPr="00C42E65">
              <w:rPr>
                <w:rFonts w:eastAsia="Times New Roman"/>
                <w:szCs w:val="24"/>
              </w:rPr>
              <w:t>in an advanced global context</w:t>
            </w:r>
          </w:p>
        </w:tc>
      </w:tr>
      <w:tr w:rsidR="00EA01C0" w:rsidRPr="00EA01C0" w:rsidTr="0023346B">
        <w:trPr>
          <w:gridBefore w:val="1"/>
          <w:wBefore w:w="7" w:type="dxa"/>
          <w:trHeight w:val="20"/>
          <w:jc w:val="center"/>
        </w:trPr>
        <w:tc>
          <w:tcPr>
            <w:tcW w:w="6532" w:type="dxa"/>
            <w:gridSpan w:val="4"/>
            <w:tcBorders>
              <w:top w:val="single" w:sz="2" w:space="0" w:color="auto"/>
              <w:left w:val="single" w:sz="2" w:space="0" w:color="auto"/>
              <w:bottom w:val="single" w:sz="2" w:space="0" w:color="auto"/>
            </w:tcBorders>
            <w:shd w:val="clear" w:color="auto" w:fill="DBE5F1"/>
            <w:vAlign w:val="center"/>
          </w:tcPr>
          <w:p w:rsidR="00EA01C0" w:rsidRPr="00EA01C0" w:rsidRDefault="00EA01C0" w:rsidP="00EA01C0">
            <w:pPr>
              <w:spacing w:before="60"/>
              <w:rPr>
                <w:rFonts w:cs="Calibri"/>
                <w:b/>
              </w:rPr>
            </w:pPr>
            <w:r w:rsidRPr="00EA01C0">
              <w:rPr>
                <w:rFonts w:cs="Calibri"/>
                <w:b/>
              </w:rPr>
              <w:t>Assessment Instruments for Intended Student Learning Outcomes—</w:t>
            </w:r>
          </w:p>
          <w:p w:rsidR="00EA01C0" w:rsidRPr="00EA01C0" w:rsidRDefault="00EA01C0" w:rsidP="00EA01C0">
            <w:pPr>
              <w:spacing w:after="60"/>
              <w:rPr>
                <w:rFonts w:cs="Calibri"/>
                <w:b/>
              </w:rPr>
            </w:pPr>
            <w:r w:rsidRPr="00EA01C0">
              <w:rPr>
                <w:rFonts w:cs="Calibri"/>
                <w:b/>
              </w:rPr>
              <w:t>Direct Measures of Student Learning:</w:t>
            </w:r>
          </w:p>
        </w:tc>
        <w:tc>
          <w:tcPr>
            <w:tcW w:w="7004" w:type="dxa"/>
            <w:gridSpan w:val="7"/>
            <w:tcBorders>
              <w:top w:val="single" w:sz="2" w:space="0" w:color="auto"/>
              <w:bottom w:val="single" w:sz="2" w:space="0" w:color="auto"/>
              <w:right w:val="single" w:sz="2" w:space="0" w:color="auto"/>
            </w:tcBorders>
            <w:shd w:val="clear" w:color="auto" w:fill="DBE5F1"/>
            <w:vAlign w:val="center"/>
          </w:tcPr>
          <w:p w:rsidR="00EA01C0" w:rsidRPr="00EA01C0" w:rsidRDefault="00EA01C0" w:rsidP="00EA01C0">
            <w:pPr>
              <w:spacing w:before="60" w:after="60"/>
              <w:rPr>
                <w:rFonts w:cs="Calibri"/>
                <w:b/>
              </w:rPr>
            </w:pPr>
            <w:r w:rsidRPr="00EA01C0">
              <w:rPr>
                <w:rFonts w:cs="Calibri"/>
                <w:b/>
              </w:rPr>
              <w:t>Performance Objectives (Targets/Criteria) for Direct Measures:</w:t>
            </w:r>
          </w:p>
        </w:tc>
      </w:tr>
      <w:tr w:rsidR="00EA01C0" w:rsidRPr="00EA01C0" w:rsidTr="0023346B">
        <w:trPr>
          <w:gridBefore w:val="1"/>
          <w:wBefore w:w="7" w:type="dxa"/>
          <w:trHeight w:val="144"/>
          <w:jc w:val="center"/>
        </w:trPr>
        <w:tc>
          <w:tcPr>
            <w:tcW w:w="6532" w:type="dxa"/>
            <w:gridSpan w:val="4"/>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EA01C0" w:rsidRPr="00264626" w:rsidRDefault="00EA01C0" w:rsidP="00264626">
            <w:pPr>
              <w:pStyle w:val="ListParagraph"/>
              <w:spacing w:line="225" w:lineRule="atLeast"/>
              <w:ind w:left="0"/>
              <w:rPr>
                <w:rFonts w:eastAsia="Times New Roman"/>
                <w:color w:val="1B1B1B"/>
                <w:szCs w:val="24"/>
              </w:rPr>
            </w:pPr>
            <w:r w:rsidRPr="00EA01C0">
              <w:rPr>
                <w:rFonts w:cs="Calibri"/>
                <w:i/>
              </w:rPr>
              <w:t>Direct Measure 1</w:t>
            </w:r>
            <w:r w:rsidR="00264626">
              <w:rPr>
                <w:rFonts w:cs="Calibri"/>
                <w:i/>
              </w:rPr>
              <w:t xml:space="preserve">: </w:t>
            </w:r>
            <w:r w:rsidR="00264626" w:rsidRPr="007A4913">
              <w:rPr>
                <w:rFonts w:eastAsia="Times New Roman"/>
                <w:color w:val="1B1B1B"/>
                <w:szCs w:val="24"/>
              </w:rPr>
              <w:t>Comprehensive Examination</w:t>
            </w:r>
            <w:r w:rsidR="00264626">
              <w:rPr>
                <w:rFonts w:eastAsia="Times New Roman"/>
                <w:color w:val="1B1B1B"/>
                <w:szCs w:val="24"/>
              </w:rPr>
              <w:t xml:space="preserve"> </w:t>
            </w:r>
            <w:r w:rsidR="009D24AE">
              <w:rPr>
                <w:rFonts w:eastAsia="Times New Roman"/>
                <w:color w:val="1B1B1B"/>
                <w:szCs w:val="24"/>
              </w:rPr>
              <w:t>- Graduate Level</w:t>
            </w:r>
          </w:p>
          <w:p w:rsidR="00D12943" w:rsidRPr="009D24AE" w:rsidRDefault="00EA01C0" w:rsidP="00D12943">
            <w:pPr>
              <w:spacing w:before="120"/>
              <w:ind w:left="144" w:hanging="144"/>
              <w:rPr>
                <w:rFonts w:cs="Calibri"/>
              </w:rPr>
            </w:pPr>
            <w:r w:rsidRPr="00EA01C0">
              <w:rPr>
                <w:rFonts w:cs="Calibri"/>
              </w:rPr>
              <w:lastRenderedPageBreak/>
              <w:tab/>
            </w:r>
            <w:r w:rsidRPr="00EA01C0">
              <w:rPr>
                <w:rFonts w:cs="Calibri"/>
              </w:rPr>
              <w:tab/>
              <w:t xml:space="preserve">Program </w:t>
            </w:r>
            <w:r w:rsidR="009D24AE">
              <w:rPr>
                <w:rFonts w:cs="Calibri"/>
              </w:rPr>
              <w:t>ISLOs Assessed by this Measure:</w:t>
            </w:r>
            <w:r w:rsidR="009D24AE" w:rsidRPr="004923C4">
              <w:rPr>
                <w:rFonts w:eastAsia="Times New Roman"/>
                <w:szCs w:val="24"/>
              </w:rPr>
              <w:t xml:space="preserve"> </w:t>
            </w:r>
            <w:r w:rsidR="00D12943">
              <w:rPr>
                <w:rFonts w:eastAsia="Times New Roman"/>
                <w:color w:val="1B1B1B"/>
                <w:szCs w:val="24"/>
              </w:rPr>
              <w:t>1, 2, 6, 7, 8, 9, 10, 11</w:t>
            </w:r>
          </w:p>
        </w:tc>
        <w:tc>
          <w:tcPr>
            <w:tcW w:w="7004" w:type="dxa"/>
            <w:gridSpan w:val="7"/>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EA01C0" w:rsidRDefault="00EA01C0" w:rsidP="00EA01C0">
            <w:pPr>
              <w:rPr>
                <w:rFonts w:cs="Calibri"/>
                <w:i/>
              </w:rPr>
            </w:pPr>
            <w:r w:rsidRPr="00EA01C0">
              <w:rPr>
                <w:rFonts w:cs="Calibri"/>
                <w:i/>
              </w:rPr>
              <w:lastRenderedPageBreak/>
              <w:t>Objective for Direct Measure 1</w:t>
            </w:r>
          </w:p>
          <w:p w:rsidR="00FB54D6" w:rsidRPr="00EA01C0" w:rsidRDefault="0046554F" w:rsidP="0046554F">
            <w:pPr>
              <w:spacing w:before="60" w:after="60"/>
              <w:rPr>
                <w:rFonts w:cs="Calibri"/>
                <w:i/>
              </w:rPr>
            </w:pPr>
            <w:r w:rsidRPr="004923C4">
              <w:rPr>
                <w:rFonts w:eastAsia="Times New Roman"/>
                <w:szCs w:val="24"/>
              </w:rPr>
              <w:lastRenderedPageBreak/>
              <w:t>We expect that 90% of students will score average or higher on the Peregrine examination of accounting and business skills. Examination questions are specifically selected to address graduate-level material.</w:t>
            </w:r>
          </w:p>
        </w:tc>
      </w:tr>
      <w:tr w:rsidR="00EA01C0" w:rsidRPr="00EA01C0" w:rsidTr="0023346B">
        <w:trPr>
          <w:gridBefore w:val="1"/>
          <w:wBefore w:w="7" w:type="dxa"/>
          <w:trHeight w:val="144"/>
          <w:jc w:val="center"/>
        </w:trPr>
        <w:tc>
          <w:tcPr>
            <w:tcW w:w="6532" w:type="dxa"/>
            <w:gridSpan w:val="4"/>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BE2841" w:rsidRPr="004923C4" w:rsidRDefault="00EA01C0" w:rsidP="00BE2841">
            <w:pPr>
              <w:spacing w:before="60" w:after="60"/>
              <w:rPr>
                <w:rFonts w:eastAsia="Times New Roman"/>
                <w:szCs w:val="24"/>
              </w:rPr>
            </w:pPr>
            <w:r w:rsidRPr="00EA01C0">
              <w:rPr>
                <w:rFonts w:cs="Calibri"/>
                <w:i/>
              </w:rPr>
              <w:lastRenderedPageBreak/>
              <w:t>Direct Measure 2</w:t>
            </w:r>
            <w:r w:rsidR="00264626">
              <w:rPr>
                <w:rFonts w:cs="Calibri"/>
                <w:i/>
              </w:rPr>
              <w:t xml:space="preserve">: </w:t>
            </w:r>
            <w:r w:rsidR="00BE2841" w:rsidRPr="004923C4">
              <w:rPr>
                <w:rFonts w:eastAsia="Times New Roman"/>
                <w:szCs w:val="24"/>
              </w:rPr>
              <w:t>Master’s Strategic Business Project</w:t>
            </w:r>
          </w:p>
          <w:p w:rsidR="00BE2841" w:rsidRDefault="00BE2841" w:rsidP="00BE2841">
            <w:pPr>
              <w:numPr>
                <w:ilvl w:val="0"/>
                <w:numId w:val="10"/>
              </w:numPr>
              <w:ind w:left="144" w:hanging="144"/>
              <w:rPr>
                <w:rFonts w:cs="Calibri"/>
                <w:i/>
              </w:rPr>
            </w:pPr>
            <w:r>
              <w:rPr>
                <w:rFonts w:eastAsia="Times New Roman"/>
                <w:szCs w:val="24"/>
              </w:rPr>
              <w:t>Program</w:t>
            </w:r>
            <w:r w:rsidRPr="004923C4">
              <w:rPr>
                <w:rFonts w:eastAsia="Times New Roman"/>
                <w:szCs w:val="24"/>
              </w:rPr>
              <w:t xml:space="preserve"> ISLOs</w:t>
            </w:r>
            <w:r>
              <w:rPr>
                <w:rFonts w:eastAsia="Times New Roman"/>
                <w:szCs w:val="24"/>
              </w:rPr>
              <w:t xml:space="preserve"> Assessed by this Measure</w:t>
            </w:r>
            <w:r w:rsidRPr="004923C4">
              <w:rPr>
                <w:rFonts w:eastAsia="Times New Roman"/>
                <w:szCs w:val="24"/>
              </w:rPr>
              <w:t xml:space="preserve">: </w:t>
            </w:r>
            <w:r w:rsidR="00D12943" w:rsidRPr="004923C4">
              <w:rPr>
                <w:rFonts w:eastAsia="Times New Roman"/>
                <w:szCs w:val="24"/>
              </w:rPr>
              <w:t>1, 2, 3, 4, 5, 6, 7</w:t>
            </w:r>
            <w:r w:rsidR="00D12943">
              <w:rPr>
                <w:rFonts w:eastAsia="Times New Roman"/>
                <w:szCs w:val="24"/>
              </w:rPr>
              <w:t>, 8, 9, 10, 11</w:t>
            </w:r>
          </w:p>
          <w:p w:rsidR="00EA01C0" w:rsidRPr="00EA01C0" w:rsidRDefault="00EA01C0" w:rsidP="0046554F">
            <w:pPr>
              <w:spacing w:before="120"/>
              <w:ind w:left="144" w:hanging="144"/>
              <w:rPr>
                <w:rFonts w:cs="Calibri"/>
                <w:i/>
              </w:rPr>
            </w:pPr>
            <w:r w:rsidRPr="00EA01C0">
              <w:rPr>
                <w:rFonts w:cs="Calibri"/>
              </w:rPr>
              <w:t xml:space="preserve"> </w:t>
            </w:r>
          </w:p>
        </w:tc>
        <w:tc>
          <w:tcPr>
            <w:tcW w:w="7004" w:type="dxa"/>
            <w:gridSpan w:val="7"/>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EA01C0" w:rsidRDefault="00EA01C0" w:rsidP="00EA01C0">
            <w:pPr>
              <w:rPr>
                <w:rFonts w:cs="Calibri"/>
                <w:i/>
              </w:rPr>
            </w:pPr>
            <w:r w:rsidRPr="00EA01C0">
              <w:rPr>
                <w:rFonts w:cs="Calibri"/>
                <w:i/>
              </w:rPr>
              <w:t>Objective for Direct Measure 2</w:t>
            </w:r>
          </w:p>
          <w:p w:rsidR="006C65B5" w:rsidRPr="00EA01C0" w:rsidRDefault="0046554F" w:rsidP="00EA01C0">
            <w:pPr>
              <w:rPr>
                <w:rFonts w:cs="Calibri"/>
                <w:i/>
              </w:rPr>
            </w:pPr>
            <w:r w:rsidRPr="004923C4">
              <w:rPr>
                <w:rFonts w:eastAsia="Times New Roman"/>
                <w:szCs w:val="24"/>
              </w:rPr>
              <w:t>Our goal is that 90% of students will achieve 80% or higher on their master’s integrated strategic business project in the Global Financial Reporting &amp; Statement Analysis (ACC 630) capstone course.</w:t>
            </w:r>
          </w:p>
        </w:tc>
      </w:tr>
      <w:tr w:rsidR="00EA01C0" w:rsidRPr="00EA01C0" w:rsidTr="0023346B">
        <w:trPr>
          <w:gridBefore w:val="1"/>
          <w:wBefore w:w="7" w:type="dxa"/>
          <w:trHeight w:val="576"/>
          <w:jc w:val="center"/>
        </w:trPr>
        <w:tc>
          <w:tcPr>
            <w:tcW w:w="6532" w:type="dxa"/>
            <w:gridSpan w:val="4"/>
            <w:tcBorders>
              <w:top w:val="single" w:sz="2" w:space="0" w:color="auto"/>
              <w:left w:val="single" w:sz="2" w:space="0" w:color="auto"/>
              <w:bottom w:val="single" w:sz="2" w:space="0" w:color="auto"/>
            </w:tcBorders>
            <w:shd w:val="clear" w:color="auto" w:fill="DBE5F1"/>
            <w:tcMar>
              <w:left w:w="115" w:type="dxa"/>
              <w:right w:w="0" w:type="dxa"/>
            </w:tcMar>
            <w:vAlign w:val="center"/>
          </w:tcPr>
          <w:p w:rsidR="00EA01C0" w:rsidRPr="00EA01C0" w:rsidRDefault="00EA01C0" w:rsidP="00EA01C0">
            <w:pPr>
              <w:spacing w:before="60"/>
              <w:rPr>
                <w:rFonts w:cs="Calibri"/>
                <w:b/>
              </w:rPr>
            </w:pPr>
            <w:r w:rsidRPr="00EA01C0">
              <w:rPr>
                <w:rFonts w:cs="Calibri"/>
                <w:b/>
              </w:rPr>
              <w:t>Assessment Instruments for Intended Student Learning Outcomes—</w:t>
            </w:r>
          </w:p>
          <w:p w:rsidR="00EA01C0" w:rsidRPr="00EA01C0" w:rsidRDefault="00EA01C0" w:rsidP="00EA01C0">
            <w:pPr>
              <w:spacing w:after="60"/>
              <w:rPr>
                <w:rFonts w:cs="Calibri"/>
                <w:b/>
              </w:rPr>
            </w:pPr>
            <w:r w:rsidRPr="00EA01C0">
              <w:rPr>
                <w:rFonts w:cs="Calibri"/>
                <w:b/>
              </w:rPr>
              <w:t>Indirect Measures of Student Learning:</w:t>
            </w:r>
          </w:p>
        </w:tc>
        <w:tc>
          <w:tcPr>
            <w:tcW w:w="7004" w:type="dxa"/>
            <w:gridSpan w:val="7"/>
            <w:tcBorders>
              <w:top w:val="single" w:sz="2" w:space="0" w:color="auto"/>
              <w:bottom w:val="single" w:sz="2" w:space="0" w:color="auto"/>
              <w:right w:val="single" w:sz="2" w:space="0" w:color="auto"/>
            </w:tcBorders>
            <w:shd w:val="clear" w:color="auto" w:fill="DBE5F1"/>
            <w:vAlign w:val="center"/>
          </w:tcPr>
          <w:p w:rsidR="00EA01C0" w:rsidRPr="00EA01C0" w:rsidRDefault="00EA01C0" w:rsidP="00EA01C0">
            <w:pPr>
              <w:spacing w:before="60" w:after="60"/>
              <w:rPr>
                <w:rFonts w:cs="Calibri"/>
                <w:b/>
              </w:rPr>
            </w:pPr>
            <w:r w:rsidRPr="00EA01C0">
              <w:rPr>
                <w:rFonts w:cs="Calibri"/>
                <w:b/>
              </w:rPr>
              <w:t>Performance Objectives (Targets/Criteria) for Indirect Measures:</w:t>
            </w:r>
          </w:p>
        </w:tc>
      </w:tr>
      <w:tr w:rsidR="00EA01C0" w:rsidRPr="00EA01C0" w:rsidTr="0023346B">
        <w:trPr>
          <w:gridBefore w:val="1"/>
          <w:wBefore w:w="7" w:type="dxa"/>
          <w:trHeight w:val="432"/>
          <w:jc w:val="center"/>
        </w:trPr>
        <w:tc>
          <w:tcPr>
            <w:tcW w:w="6532" w:type="dxa"/>
            <w:gridSpan w:val="4"/>
            <w:tcBorders>
              <w:top w:val="single" w:sz="2" w:space="0" w:color="auto"/>
              <w:left w:val="single" w:sz="2" w:space="0" w:color="auto"/>
              <w:bottom w:val="single" w:sz="2" w:space="0" w:color="auto"/>
            </w:tcBorders>
            <w:tcMar>
              <w:top w:w="72" w:type="dxa"/>
              <w:left w:w="115" w:type="dxa"/>
              <w:bottom w:w="72" w:type="dxa"/>
              <w:right w:w="115" w:type="dxa"/>
            </w:tcMar>
          </w:tcPr>
          <w:p w:rsidR="008117AB" w:rsidRDefault="00EA01C0" w:rsidP="008117AB">
            <w:pPr>
              <w:spacing w:before="60" w:after="60"/>
              <w:rPr>
                <w:rFonts w:cs="Calibri"/>
              </w:rPr>
            </w:pPr>
            <w:r w:rsidRPr="00EA01C0">
              <w:rPr>
                <w:rFonts w:cs="Calibri"/>
                <w:i/>
              </w:rPr>
              <w:t>Indirect Measure 1</w:t>
            </w:r>
            <w:r w:rsidR="008117AB">
              <w:rPr>
                <w:rFonts w:cs="Calibri"/>
                <w:i/>
              </w:rPr>
              <w:t xml:space="preserve">: </w:t>
            </w:r>
            <w:r w:rsidR="008117AB" w:rsidRPr="007A4913">
              <w:t>Student Skill Survey</w:t>
            </w:r>
            <w:r w:rsidR="008117AB" w:rsidRPr="007A4913">
              <w:rPr>
                <w:rFonts w:cs="Calibri"/>
                <w:i/>
              </w:rPr>
              <w:t xml:space="preserve"> </w:t>
            </w:r>
          </w:p>
          <w:p w:rsidR="00EA01C0" w:rsidRPr="00EA01C0" w:rsidRDefault="00EA01C0" w:rsidP="008117AB">
            <w:pPr>
              <w:ind w:left="144"/>
              <w:rPr>
                <w:rFonts w:cs="Calibri"/>
                <w:i/>
              </w:rPr>
            </w:pPr>
          </w:p>
          <w:p w:rsidR="00EA01C0" w:rsidRPr="00EA01C0" w:rsidRDefault="00EA01C0" w:rsidP="0078136B">
            <w:pPr>
              <w:spacing w:before="120"/>
              <w:ind w:left="144" w:hanging="144"/>
              <w:rPr>
                <w:rFonts w:cs="Calibri"/>
                <w:i/>
              </w:rPr>
            </w:pPr>
            <w:r w:rsidRPr="00EA01C0">
              <w:rPr>
                <w:rFonts w:cs="Calibri"/>
              </w:rPr>
              <w:tab/>
            </w:r>
            <w:r w:rsidRPr="00EA01C0">
              <w:rPr>
                <w:rFonts w:cs="Calibri"/>
              </w:rPr>
              <w:tab/>
              <w:t xml:space="preserve">Program ISLOs Assessed by this Measure:  </w:t>
            </w:r>
            <w:r w:rsidR="00D12943" w:rsidRPr="004923C4">
              <w:rPr>
                <w:rFonts w:eastAsia="Times New Roman"/>
                <w:szCs w:val="24"/>
              </w:rPr>
              <w:t>1, 2, 3, 4, 5, 6, 7</w:t>
            </w:r>
            <w:r w:rsidR="00D12943">
              <w:rPr>
                <w:rFonts w:eastAsia="Times New Roman"/>
                <w:szCs w:val="24"/>
              </w:rPr>
              <w:t>, 10, 11</w:t>
            </w:r>
          </w:p>
        </w:tc>
        <w:tc>
          <w:tcPr>
            <w:tcW w:w="7004" w:type="dxa"/>
            <w:gridSpan w:val="7"/>
            <w:tcBorders>
              <w:top w:val="single" w:sz="2" w:space="0" w:color="auto"/>
              <w:bottom w:val="single" w:sz="2" w:space="0" w:color="auto"/>
              <w:right w:val="single" w:sz="2" w:space="0" w:color="auto"/>
            </w:tcBorders>
            <w:tcMar>
              <w:top w:w="72" w:type="dxa"/>
              <w:left w:w="115" w:type="dxa"/>
              <w:bottom w:w="72" w:type="dxa"/>
              <w:right w:w="115" w:type="dxa"/>
            </w:tcMar>
          </w:tcPr>
          <w:p w:rsidR="00EA01C0" w:rsidRDefault="00EA01C0" w:rsidP="00EA01C0">
            <w:pPr>
              <w:rPr>
                <w:rFonts w:cs="Calibri"/>
                <w:i/>
              </w:rPr>
            </w:pPr>
            <w:r w:rsidRPr="00EA01C0">
              <w:rPr>
                <w:rFonts w:cs="Calibri"/>
                <w:i/>
              </w:rPr>
              <w:t>Objective (Target/Criterion) for Indirect Measure 1</w:t>
            </w:r>
          </w:p>
          <w:p w:rsidR="00B25850" w:rsidRPr="00EA01C0" w:rsidRDefault="0046554F" w:rsidP="0046554F">
            <w:pPr>
              <w:spacing w:before="60" w:after="60"/>
              <w:rPr>
                <w:rFonts w:cs="Calibri"/>
                <w:i/>
              </w:rPr>
            </w:pPr>
            <w:r w:rsidRPr="004923C4">
              <w:t>We expect that a majority of students will rate their business skill level at average or better on a range of skills specified in a departmental survey that will be administered in the capstone course (ACC 630, ACC620 or ACC 650). Note: The sequence of these three courses may vary the assessment due to student scheduling considerations. The survey will be administered in whichever of the three courses is scheduled last in the program.</w:t>
            </w:r>
          </w:p>
        </w:tc>
      </w:tr>
      <w:tr w:rsidR="00EA01C0" w:rsidRPr="00EA01C0" w:rsidTr="0023346B">
        <w:trPr>
          <w:gridBefore w:val="1"/>
          <w:wBefore w:w="7" w:type="dxa"/>
          <w:trHeight w:val="576"/>
          <w:jc w:val="center"/>
        </w:trPr>
        <w:tc>
          <w:tcPr>
            <w:tcW w:w="6532" w:type="dxa"/>
            <w:gridSpan w:val="4"/>
            <w:tcBorders>
              <w:top w:val="single" w:sz="2" w:space="0" w:color="auto"/>
              <w:left w:val="single" w:sz="2" w:space="0" w:color="auto"/>
              <w:bottom w:val="single" w:sz="6" w:space="0" w:color="auto"/>
            </w:tcBorders>
            <w:tcMar>
              <w:top w:w="72" w:type="dxa"/>
              <w:left w:w="115" w:type="dxa"/>
              <w:bottom w:w="72" w:type="dxa"/>
              <w:right w:w="115" w:type="dxa"/>
            </w:tcMar>
          </w:tcPr>
          <w:p w:rsidR="008117AB" w:rsidRDefault="00EA01C0" w:rsidP="008117AB">
            <w:pPr>
              <w:spacing w:before="60" w:after="60"/>
            </w:pPr>
            <w:r w:rsidRPr="00EA01C0">
              <w:rPr>
                <w:rFonts w:cs="Calibri"/>
                <w:i/>
              </w:rPr>
              <w:t>Indirect Measure 2</w:t>
            </w:r>
            <w:r w:rsidR="008117AB">
              <w:rPr>
                <w:rFonts w:cs="Calibri"/>
                <w:i/>
              </w:rPr>
              <w:t xml:space="preserve">: </w:t>
            </w:r>
            <w:r w:rsidR="008117AB" w:rsidRPr="00543179">
              <w:t xml:space="preserve">Student Learning Outcomes Personal </w:t>
            </w:r>
            <w:r w:rsidR="008117AB">
              <w:t xml:space="preserve">Knowledge </w:t>
            </w:r>
            <w:r w:rsidR="008117AB" w:rsidRPr="00543179">
              <w:t>Growth Survey</w:t>
            </w:r>
          </w:p>
          <w:p w:rsidR="00EA01C0" w:rsidRPr="00EA01C0" w:rsidRDefault="00EA01C0" w:rsidP="0078136B">
            <w:pPr>
              <w:spacing w:before="120"/>
              <w:ind w:left="144" w:hanging="144"/>
              <w:rPr>
                <w:rFonts w:cs="Calibri"/>
                <w:i/>
              </w:rPr>
            </w:pPr>
            <w:r w:rsidRPr="00EA01C0">
              <w:rPr>
                <w:rFonts w:cs="Calibri"/>
              </w:rPr>
              <w:tab/>
            </w:r>
            <w:r w:rsidRPr="00EA01C0">
              <w:rPr>
                <w:rFonts w:cs="Calibri"/>
              </w:rPr>
              <w:tab/>
              <w:t>Program I</w:t>
            </w:r>
            <w:r w:rsidR="008117AB">
              <w:rPr>
                <w:rFonts w:cs="Calibri"/>
              </w:rPr>
              <w:t xml:space="preserve">SLOs Assessed by this Measure: </w:t>
            </w:r>
            <w:r w:rsidR="00D12943" w:rsidRPr="004923C4">
              <w:rPr>
                <w:rFonts w:eastAsia="Times New Roman"/>
                <w:szCs w:val="24"/>
              </w:rPr>
              <w:t>1, 2, 3, 4, 5, 6, 7</w:t>
            </w:r>
            <w:r w:rsidR="00D12943">
              <w:rPr>
                <w:rFonts w:eastAsia="Times New Roman"/>
                <w:szCs w:val="24"/>
              </w:rPr>
              <w:t>, 10, 11</w:t>
            </w:r>
          </w:p>
        </w:tc>
        <w:tc>
          <w:tcPr>
            <w:tcW w:w="7004" w:type="dxa"/>
            <w:gridSpan w:val="7"/>
            <w:tcBorders>
              <w:top w:val="single" w:sz="2" w:space="0" w:color="auto"/>
              <w:bottom w:val="single" w:sz="2" w:space="0" w:color="auto"/>
              <w:right w:val="single" w:sz="2" w:space="0" w:color="auto"/>
            </w:tcBorders>
            <w:tcMar>
              <w:top w:w="72" w:type="dxa"/>
              <w:left w:w="115" w:type="dxa"/>
              <w:bottom w:w="72" w:type="dxa"/>
              <w:right w:w="115" w:type="dxa"/>
            </w:tcMar>
          </w:tcPr>
          <w:p w:rsidR="00EA01C0" w:rsidRDefault="00EA01C0" w:rsidP="00EA01C0">
            <w:pPr>
              <w:rPr>
                <w:rFonts w:cs="Calibri"/>
                <w:i/>
              </w:rPr>
            </w:pPr>
            <w:r w:rsidRPr="00EA01C0">
              <w:rPr>
                <w:rFonts w:cs="Calibri"/>
                <w:i/>
              </w:rPr>
              <w:t>Objective (Target/Criterion) for Indirect Measure 2</w:t>
            </w:r>
          </w:p>
          <w:p w:rsidR="00AA5091" w:rsidRPr="00EA01C0" w:rsidRDefault="0046554F" w:rsidP="000D7A46">
            <w:pPr>
              <w:spacing w:before="60" w:after="60"/>
              <w:rPr>
                <w:rFonts w:cs="Calibri"/>
                <w:i/>
              </w:rPr>
            </w:pPr>
            <w:r>
              <w:t>We</w:t>
            </w:r>
            <w:r w:rsidRPr="004923C4">
              <w:t xml:space="preserve"> expect that 85% of students would indicate at Above Average (4) or High (5) growth on a majority of lear</w:t>
            </w:r>
            <w:r>
              <w:t xml:space="preserve">ning outcomes identified in the </w:t>
            </w:r>
            <w:r w:rsidRPr="004923C4">
              <w:t>survey.</w:t>
            </w:r>
          </w:p>
        </w:tc>
      </w:tr>
      <w:tr w:rsidR="00EA01C0" w:rsidRPr="00EA01C0"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32"/>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rsidR="00EA01C0" w:rsidRPr="00EA01C0" w:rsidRDefault="00EA01C0" w:rsidP="004144B7">
            <w:pPr>
              <w:spacing w:before="60" w:after="60"/>
              <w:jc w:val="center"/>
              <w:rPr>
                <w:b/>
                <w:i/>
              </w:rPr>
            </w:pPr>
            <w:r w:rsidRPr="00EA01C0">
              <w:rPr>
                <w:b/>
              </w:rPr>
              <w:t xml:space="preserve">Assessment Results: </w:t>
            </w:r>
            <w:r w:rsidR="008117AB">
              <w:rPr>
                <w:b/>
              </w:rPr>
              <w:t>B.S.</w:t>
            </w:r>
            <w:r w:rsidR="004144B7">
              <w:rPr>
                <w:b/>
              </w:rPr>
              <w:t>/M.S. Professional Accountancy</w:t>
            </w:r>
          </w:p>
        </w:tc>
      </w:tr>
      <w:tr w:rsidR="00EA01C0" w:rsidRPr="00EA01C0"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32"/>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EA01C0" w:rsidRPr="00EA01C0" w:rsidRDefault="00EA01C0" w:rsidP="00EA01C0">
            <w:pPr>
              <w:spacing w:before="60" w:after="60"/>
              <w:rPr>
                <w:rFonts w:cs="Calibri"/>
              </w:rPr>
            </w:pPr>
            <w:r w:rsidRPr="00EA01C0">
              <w:rPr>
                <w:rFonts w:cs="Calibri"/>
                <w:b/>
              </w:rPr>
              <w:t>Summary of Results from Implementing Direct Measures of Student Learning:</w:t>
            </w:r>
          </w:p>
        </w:tc>
      </w:tr>
      <w:tr w:rsidR="00EA01C0" w:rsidRPr="00EA01C0"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EA01C0" w:rsidRPr="004144B7" w:rsidRDefault="00EA01C0" w:rsidP="0078628A">
            <w:pPr>
              <w:numPr>
                <w:ilvl w:val="0"/>
                <w:numId w:val="12"/>
              </w:numPr>
              <w:ind w:left="144" w:hanging="144"/>
              <w:rPr>
                <w:rFonts w:cs="Calibri"/>
              </w:rPr>
            </w:pPr>
            <w:r w:rsidRPr="00EA01C0">
              <w:rPr>
                <w:rFonts w:cs="Calibri"/>
                <w:i/>
              </w:rPr>
              <w:t>Summary of Results for Direct Measure 1</w:t>
            </w:r>
          </w:p>
          <w:p w:rsidR="004144B7" w:rsidRDefault="004144B7" w:rsidP="004144B7">
            <w:pPr>
              <w:spacing w:before="60" w:after="60"/>
              <w:rPr>
                <w:rFonts w:eastAsia="Times New Roman"/>
                <w:szCs w:val="24"/>
              </w:rPr>
            </w:pPr>
            <w:r w:rsidRPr="004923C4">
              <w:rPr>
                <w:rFonts w:eastAsia="Times New Roman"/>
                <w:szCs w:val="24"/>
              </w:rPr>
              <w:t>We expect that 90% of students will score average or higher on the Peregrine examination of accounting and business skills. Examination questions are specifically selected to address graduate-level material.</w:t>
            </w:r>
          </w:p>
          <w:p w:rsidR="0023346B" w:rsidRPr="00EA01C0" w:rsidRDefault="004144B7" w:rsidP="004144B7">
            <w:pPr>
              <w:rPr>
                <w:rFonts w:cs="Calibri"/>
              </w:rPr>
            </w:pPr>
            <w:r w:rsidRPr="00856D12">
              <w:rPr>
                <w:rFonts w:eastAsia="Times New Roman"/>
                <w:b/>
                <w:szCs w:val="24"/>
              </w:rPr>
              <w:t>Outcome:</w:t>
            </w:r>
            <w:r>
              <w:rPr>
                <w:rFonts w:eastAsia="Times New Roman"/>
                <w:szCs w:val="24"/>
              </w:rPr>
              <w:t xml:space="preserve"> This measure was met.</w:t>
            </w:r>
          </w:p>
        </w:tc>
      </w:tr>
      <w:tr w:rsidR="00EA01C0" w:rsidRPr="00EA01C0"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EA01C0" w:rsidRPr="0023346B" w:rsidRDefault="00EA01C0" w:rsidP="0078628A">
            <w:pPr>
              <w:numPr>
                <w:ilvl w:val="0"/>
                <w:numId w:val="12"/>
              </w:numPr>
              <w:ind w:left="144" w:hanging="144"/>
              <w:rPr>
                <w:rFonts w:cs="Calibri"/>
              </w:rPr>
            </w:pPr>
            <w:r w:rsidRPr="00EA01C0">
              <w:rPr>
                <w:rFonts w:cs="Calibri"/>
                <w:i/>
              </w:rPr>
              <w:t>Summary of Results for Direct Measure 2</w:t>
            </w:r>
          </w:p>
          <w:p w:rsidR="004144B7" w:rsidRDefault="004144B7" w:rsidP="004144B7">
            <w:pPr>
              <w:spacing w:before="60" w:after="60"/>
              <w:rPr>
                <w:rFonts w:eastAsia="Times New Roman"/>
                <w:szCs w:val="24"/>
              </w:rPr>
            </w:pPr>
            <w:r w:rsidRPr="004923C4">
              <w:rPr>
                <w:rFonts w:eastAsia="Times New Roman"/>
                <w:szCs w:val="24"/>
              </w:rPr>
              <w:t>Our goal is that 90% of students will achieve 80% or higher on their master’s integrated strategic business project in the Global Financial Reporting &amp; Statement Analysis (ACC 630) capstone course.</w:t>
            </w:r>
          </w:p>
          <w:p w:rsidR="0023346B" w:rsidRPr="00EA01C0" w:rsidRDefault="004144B7" w:rsidP="004144B7">
            <w:pPr>
              <w:ind w:left="144"/>
              <w:rPr>
                <w:rFonts w:cs="Calibri"/>
              </w:rPr>
            </w:pPr>
            <w:r w:rsidRPr="00856D12">
              <w:rPr>
                <w:rFonts w:eastAsia="Times New Roman"/>
                <w:b/>
                <w:szCs w:val="24"/>
              </w:rPr>
              <w:lastRenderedPageBreak/>
              <w:t>Outcome:</w:t>
            </w:r>
            <w:r>
              <w:rPr>
                <w:rFonts w:eastAsia="Times New Roman"/>
                <w:szCs w:val="24"/>
              </w:rPr>
              <w:t xml:space="preserve"> This measure was not met.</w:t>
            </w:r>
          </w:p>
        </w:tc>
      </w:tr>
      <w:tr w:rsidR="00EA01C0" w:rsidRPr="00EA01C0"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32"/>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EA01C0" w:rsidRPr="00EA01C0" w:rsidRDefault="00EA01C0" w:rsidP="00EA01C0">
            <w:pPr>
              <w:spacing w:before="60" w:after="60"/>
              <w:rPr>
                <w:rFonts w:cs="Calibri"/>
              </w:rPr>
            </w:pPr>
            <w:r w:rsidRPr="00EA01C0">
              <w:rPr>
                <w:rFonts w:cs="Calibri"/>
                <w:b/>
              </w:rPr>
              <w:lastRenderedPageBreak/>
              <w:t>Summary of Results from Implementing Indirect Measures of Student Learning:</w:t>
            </w:r>
          </w:p>
        </w:tc>
      </w:tr>
      <w:tr w:rsidR="00EA01C0" w:rsidRPr="00EA01C0"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EA01C0" w:rsidRPr="004144B7" w:rsidRDefault="00EA01C0" w:rsidP="0078628A">
            <w:pPr>
              <w:numPr>
                <w:ilvl w:val="0"/>
                <w:numId w:val="13"/>
              </w:numPr>
              <w:ind w:left="144" w:hanging="144"/>
              <w:rPr>
                <w:rFonts w:cs="Calibri"/>
              </w:rPr>
            </w:pPr>
            <w:r w:rsidRPr="00EA01C0">
              <w:rPr>
                <w:rFonts w:cs="Calibri"/>
                <w:i/>
              </w:rPr>
              <w:t>Summary of Results for Indirect Measure 1</w:t>
            </w:r>
          </w:p>
          <w:p w:rsidR="004144B7" w:rsidRDefault="004144B7" w:rsidP="004144B7">
            <w:pPr>
              <w:spacing w:before="60" w:after="60"/>
            </w:pPr>
            <w:r>
              <w:rPr>
                <w:rFonts w:cs="Calibri"/>
                <w:i/>
                <w:sz w:val="20"/>
                <w:szCs w:val="20"/>
              </w:rPr>
              <w:t xml:space="preserve"> </w:t>
            </w:r>
            <w:r w:rsidRPr="004923C4">
              <w:t>We expect that a majority of students will rate their business skill level at average or better on a range of skills specified in a departmental survey that will be administered in the capstone course (ACC 630, ACC620 or ACC 650). Note: The sequence of these three courses may vary the assessment due to student scheduling considerations. The survey will be administered in whichever of the three courses is scheduled last in the program.</w:t>
            </w:r>
          </w:p>
          <w:p w:rsidR="0023346B" w:rsidRPr="00EA01C0" w:rsidRDefault="004144B7" w:rsidP="004144B7">
            <w:pPr>
              <w:rPr>
                <w:rFonts w:cs="Calibri"/>
              </w:rPr>
            </w:pPr>
            <w:r w:rsidRPr="004144B7">
              <w:t>Outcome: This measure was met</w:t>
            </w:r>
            <w:r w:rsidRPr="004144B7">
              <w:t>.</w:t>
            </w:r>
          </w:p>
        </w:tc>
      </w:tr>
      <w:tr w:rsidR="00EA01C0" w:rsidRPr="00EA01C0"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20"/>
          <w:jc w:val="center"/>
        </w:trPr>
        <w:tc>
          <w:tcPr>
            <w:tcW w:w="13536" w:type="dxa"/>
            <w:gridSpan w:val="11"/>
            <w:tcBorders>
              <w:top w:val="single" w:sz="2" w:space="0" w:color="auto"/>
              <w:left w:val="single" w:sz="2" w:space="0" w:color="auto"/>
              <w:bottom w:val="single" w:sz="2" w:space="0" w:color="auto"/>
              <w:right w:val="single" w:sz="2" w:space="0" w:color="auto"/>
            </w:tcBorders>
            <w:tcMar>
              <w:top w:w="72" w:type="dxa"/>
              <w:left w:w="115" w:type="dxa"/>
              <w:bottom w:w="72" w:type="dxa"/>
              <w:right w:w="115" w:type="dxa"/>
            </w:tcMar>
          </w:tcPr>
          <w:p w:rsidR="00EA01C0" w:rsidRPr="0023346B" w:rsidRDefault="00EA01C0" w:rsidP="0078628A">
            <w:pPr>
              <w:numPr>
                <w:ilvl w:val="0"/>
                <w:numId w:val="13"/>
              </w:numPr>
              <w:ind w:left="144" w:hanging="144"/>
              <w:rPr>
                <w:rFonts w:cs="Calibri"/>
              </w:rPr>
            </w:pPr>
            <w:r w:rsidRPr="00EA01C0">
              <w:rPr>
                <w:rFonts w:cs="Calibri"/>
                <w:i/>
              </w:rPr>
              <w:t>Summary of Results for Indirect Measure 2</w:t>
            </w:r>
          </w:p>
          <w:p w:rsidR="004144B7" w:rsidRDefault="004144B7" w:rsidP="004144B7">
            <w:pPr>
              <w:spacing w:before="60" w:after="60"/>
            </w:pPr>
            <w:r w:rsidRPr="004923C4">
              <w:t xml:space="preserve">It </w:t>
            </w:r>
            <w:r>
              <w:t>i</w:t>
            </w:r>
            <w:r w:rsidRPr="004923C4">
              <w:t>s expected that 85% of students would indicate at Above Average (4) or High (5) growth on a majority of lear</w:t>
            </w:r>
            <w:r>
              <w:t xml:space="preserve">ning outcomes identified in the </w:t>
            </w:r>
            <w:r w:rsidRPr="004923C4">
              <w:t>survey.</w:t>
            </w:r>
          </w:p>
          <w:p w:rsidR="0023346B" w:rsidRPr="004144B7" w:rsidRDefault="004144B7" w:rsidP="004144B7">
            <w:pPr>
              <w:rPr>
                <w:rFonts w:cs="Calibri"/>
              </w:rPr>
            </w:pPr>
            <w:r w:rsidRPr="004144B7">
              <w:t>Outcome: This measure was met</w:t>
            </w:r>
            <w:r w:rsidRPr="004144B7">
              <w:t>.</w:t>
            </w:r>
          </w:p>
        </w:tc>
      </w:tr>
      <w:tr w:rsidR="0078628A"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432"/>
          <w:jc w:val="center"/>
        </w:trPr>
        <w:tc>
          <w:tcPr>
            <w:tcW w:w="13536" w:type="dxa"/>
            <w:gridSpan w:val="11"/>
            <w:tcBorders>
              <w:top w:val="single" w:sz="2" w:space="0" w:color="auto"/>
              <w:left w:val="single" w:sz="2" w:space="0" w:color="auto"/>
              <w:bottom w:val="single" w:sz="2" w:space="0" w:color="auto"/>
              <w:right w:val="single" w:sz="2" w:space="0" w:color="auto"/>
            </w:tcBorders>
            <w:shd w:val="clear" w:color="auto" w:fill="DBE5F1"/>
            <w:tcMar>
              <w:left w:w="115" w:type="dxa"/>
              <w:right w:w="115" w:type="dxa"/>
            </w:tcMar>
            <w:vAlign w:val="center"/>
          </w:tcPr>
          <w:p w:rsidR="0078628A" w:rsidRPr="0078628A" w:rsidRDefault="0078628A" w:rsidP="0078628A">
            <w:pPr>
              <w:spacing w:before="60" w:after="60"/>
              <w:ind w:left="144" w:hanging="144"/>
              <w:rPr>
                <w:rFonts w:cs="Calibri"/>
                <w:b/>
              </w:rPr>
            </w:pPr>
            <w:r w:rsidRPr="0078628A">
              <w:rPr>
                <w:rFonts w:cs="Calibri"/>
                <w:b/>
              </w:rPr>
              <w:t>Summary of Achievement of Intended Student Learning Outcomes:</w:t>
            </w:r>
          </w:p>
        </w:tc>
      </w:tr>
      <w:tr w:rsidR="0078628A"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432"/>
          <w:jc w:val="center"/>
        </w:trPr>
        <w:tc>
          <w:tcPr>
            <w:tcW w:w="3744" w:type="dxa"/>
            <w:tcBorders>
              <w:bottom w:val="single" w:sz="4" w:space="0" w:color="auto"/>
            </w:tcBorders>
            <w:shd w:val="clear" w:color="auto" w:fill="auto"/>
            <w:vAlign w:val="center"/>
          </w:tcPr>
          <w:p w:rsidR="0078628A" w:rsidRPr="00D84957" w:rsidRDefault="0078628A" w:rsidP="00AC72A3">
            <w:pPr>
              <w:jc w:val="center"/>
              <w:rPr>
                <w:b/>
              </w:rPr>
            </w:pPr>
            <w:r w:rsidRPr="00D84957">
              <w:rPr>
                <w:b/>
              </w:rPr>
              <w:t>Intended Student Learning Outcomes</w:t>
            </w:r>
          </w:p>
        </w:tc>
        <w:tc>
          <w:tcPr>
            <w:tcW w:w="9792" w:type="dxa"/>
            <w:gridSpan w:val="10"/>
            <w:tcBorders>
              <w:bottom w:val="single" w:sz="4" w:space="0" w:color="auto"/>
            </w:tcBorders>
            <w:shd w:val="clear" w:color="auto" w:fill="auto"/>
            <w:vAlign w:val="center"/>
          </w:tcPr>
          <w:p w:rsidR="0078628A" w:rsidRPr="00D84957" w:rsidRDefault="0078628A" w:rsidP="00AC72A3">
            <w:pPr>
              <w:jc w:val="center"/>
              <w:rPr>
                <w:b/>
              </w:rPr>
            </w:pPr>
            <w:r w:rsidRPr="00D84957">
              <w:rPr>
                <w:b/>
              </w:rPr>
              <w:t>Learning Assessment Measures</w:t>
            </w:r>
          </w:p>
        </w:tc>
      </w:tr>
      <w:tr w:rsidR="0078628A"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432"/>
          <w:jc w:val="center"/>
        </w:trPr>
        <w:tc>
          <w:tcPr>
            <w:tcW w:w="3744" w:type="dxa"/>
            <w:vMerge w:val="restart"/>
            <w:shd w:val="clear" w:color="auto" w:fill="DBE5F1"/>
            <w:vAlign w:val="center"/>
          </w:tcPr>
          <w:p w:rsidR="0078628A" w:rsidRDefault="0078628A" w:rsidP="00AC72A3">
            <w:pPr>
              <w:jc w:val="center"/>
            </w:pPr>
            <w:r w:rsidRPr="00D84957">
              <w:rPr>
                <w:rFonts w:cs="Calibri"/>
                <w:b/>
              </w:rPr>
              <w:t>Program ISLOs</w:t>
            </w:r>
          </w:p>
        </w:tc>
        <w:tc>
          <w:tcPr>
            <w:tcW w:w="1224" w:type="dxa"/>
            <w:shd w:val="clear" w:color="auto" w:fill="DBE5F1"/>
            <w:vAlign w:val="center"/>
          </w:tcPr>
          <w:p w:rsidR="0078628A" w:rsidRPr="00D84957" w:rsidRDefault="0078628A" w:rsidP="00AC72A3">
            <w:pPr>
              <w:spacing w:before="60" w:after="60"/>
              <w:jc w:val="center"/>
              <w:rPr>
                <w:b/>
                <w:i/>
                <w:sz w:val="18"/>
                <w:szCs w:val="18"/>
              </w:rPr>
            </w:pPr>
            <w:r w:rsidRPr="00D84957">
              <w:rPr>
                <w:b/>
                <w:i/>
                <w:sz w:val="18"/>
                <w:szCs w:val="18"/>
              </w:rPr>
              <w:t>Direct Measure 1</w:t>
            </w:r>
          </w:p>
        </w:tc>
        <w:tc>
          <w:tcPr>
            <w:tcW w:w="1224" w:type="dxa"/>
            <w:shd w:val="clear" w:color="auto" w:fill="DBE5F1"/>
            <w:vAlign w:val="center"/>
          </w:tcPr>
          <w:p w:rsidR="0078628A" w:rsidRPr="00D84957" w:rsidRDefault="0078628A" w:rsidP="00AC72A3">
            <w:pPr>
              <w:spacing w:before="60" w:after="60"/>
              <w:jc w:val="center"/>
              <w:rPr>
                <w:b/>
                <w:i/>
                <w:sz w:val="18"/>
                <w:szCs w:val="18"/>
              </w:rPr>
            </w:pPr>
            <w:r w:rsidRPr="00D84957">
              <w:rPr>
                <w:b/>
                <w:i/>
                <w:sz w:val="18"/>
                <w:szCs w:val="18"/>
              </w:rPr>
              <w:t>Direct Measure 2</w:t>
            </w:r>
          </w:p>
        </w:tc>
        <w:tc>
          <w:tcPr>
            <w:tcW w:w="1224" w:type="dxa"/>
            <w:gridSpan w:val="2"/>
            <w:shd w:val="clear" w:color="auto" w:fill="DBE5F1"/>
            <w:vAlign w:val="center"/>
          </w:tcPr>
          <w:p w:rsidR="0078628A" w:rsidRPr="00D84957" w:rsidRDefault="0078628A" w:rsidP="00AC72A3">
            <w:pPr>
              <w:spacing w:before="60" w:after="60"/>
              <w:jc w:val="center"/>
              <w:rPr>
                <w:b/>
                <w:i/>
                <w:sz w:val="18"/>
                <w:szCs w:val="18"/>
              </w:rPr>
            </w:pPr>
            <w:r w:rsidRPr="00D84957">
              <w:rPr>
                <w:b/>
                <w:i/>
                <w:sz w:val="18"/>
                <w:szCs w:val="18"/>
              </w:rPr>
              <w:t>Direct Measure 3</w:t>
            </w:r>
          </w:p>
        </w:tc>
        <w:tc>
          <w:tcPr>
            <w:tcW w:w="1224" w:type="dxa"/>
            <w:shd w:val="clear" w:color="auto" w:fill="DBE5F1"/>
            <w:vAlign w:val="center"/>
          </w:tcPr>
          <w:p w:rsidR="0078628A" w:rsidRPr="00D84957" w:rsidRDefault="0078628A" w:rsidP="00AC72A3">
            <w:pPr>
              <w:spacing w:before="60" w:after="60"/>
              <w:jc w:val="center"/>
              <w:rPr>
                <w:b/>
                <w:i/>
                <w:sz w:val="18"/>
                <w:szCs w:val="18"/>
              </w:rPr>
            </w:pPr>
          </w:p>
        </w:tc>
        <w:tc>
          <w:tcPr>
            <w:tcW w:w="1224" w:type="dxa"/>
            <w:shd w:val="clear" w:color="auto" w:fill="DBE5F1"/>
            <w:vAlign w:val="center"/>
          </w:tcPr>
          <w:p w:rsidR="0078628A" w:rsidRPr="00D84957" w:rsidRDefault="0078628A" w:rsidP="00AC72A3">
            <w:pPr>
              <w:spacing w:before="60" w:after="60"/>
              <w:jc w:val="center"/>
              <w:rPr>
                <w:b/>
                <w:i/>
                <w:sz w:val="18"/>
                <w:szCs w:val="18"/>
              </w:rPr>
            </w:pPr>
            <w:r w:rsidRPr="00D84957">
              <w:rPr>
                <w:b/>
                <w:i/>
                <w:sz w:val="18"/>
                <w:szCs w:val="18"/>
              </w:rPr>
              <w:t>Indirect Measure 1</w:t>
            </w:r>
          </w:p>
        </w:tc>
        <w:tc>
          <w:tcPr>
            <w:tcW w:w="1224" w:type="dxa"/>
            <w:shd w:val="clear" w:color="auto" w:fill="DBE5F1"/>
            <w:vAlign w:val="center"/>
          </w:tcPr>
          <w:p w:rsidR="0078628A" w:rsidRPr="00D84957" w:rsidRDefault="0078628A" w:rsidP="00AC72A3">
            <w:pPr>
              <w:spacing w:before="60" w:after="60"/>
              <w:jc w:val="center"/>
              <w:rPr>
                <w:b/>
                <w:i/>
                <w:sz w:val="18"/>
                <w:szCs w:val="18"/>
              </w:rPr>
            </w:pPr>
            <w:r w:rsidRPr="00D84957">
              <w:rPr>
                <w:b/>
                <w:i/>
                <w:sz w:val="18"/>
                <w:szCs w:val="18"/>
              </w:rPr>
              <w:t>Indirect Measure 2</w:t>
            </w:r>
          </w:p>
        </w:tc>
        <w:tc>
          <w:tcPr>
            <w:tcW w:w="1224" w:type="dxa"/>
            <w:shd w:val="clear" w:color="auto" w:fill="DBE5F1"/>
            <w:vAlign w:val="center"/>
          </w:tcPr>
          <w:p w:rsidR="0078628A" w:rsidRPr="00D84957" w:rsidRDefault="0078628A" w:rsidP="00AC72A3">
            <w:pPr>
              <w:spacing w:before="60" w:after="60"/>
              <w:jc w:val="center"/>
              <w:rPr>
                <w:b/>
                <w:i/>
                <w:sz w:val="18"/>
                <w:szCs w:val="18"/>
              </w:rPr>
            </w:pPr>
          </w:p>
        </w:tc>
        <w:tc>
          <w:tcPr>
            <w:tcW w:w="1224" w:type="dxa"/>
            <w:gridSpan w:val="2"/>
            <w:shd w:val="clear" w:color="auto" w:fill="DBE5F1"/>
            <w:vAlign w:val="center"/>
          </w:tcPr>
          <w:p w:rsidR="0078628A" w:rsidRPr="00D84957" w:rsidRDefault="0078628A" w:rsidP="00AC72A3">
            <w:pPr>
              <w:spacing w:before="60" w:after="60"/>
              <w:jc w:val="center"/>
              <w:rPr>
                <w:b/>
                <w:i/>
                <w:sz w:val="18"/>
                <w:szCs w:val="18"/>
              </w:rPr>
            </w:pPr>
          </w:p>
        </w:tc>
      </w:tr>
      <w:tr w:rsidR="0078628A"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432"/>
          <w:jc w:val="center"/>
        </w:trPr>
        <w:tc>
          <w:tcPr>
            <w:tcW w:w="3744" w:type="dxa"/>
            <w:vMerge/>
            <w:shd w:val="clear" w:color="auto" w:fill="DBE5F1"/>
            <w:vAlign w:val="center"/>
          </w:tcPr>
          <w:p w:rsidR="0078628A" w:rsidRDefault="0078628A" w:rsidP="00AC72A3">
            <w:pPr>
              <w:jc w:val="center"/>
            </w:pPr>
          </w:p>
        </w:tc>
        <w:tc>
          <w:tcPr>
            <w:tcW w:w="1224" w:type="dxa"/>
            <w:shd w:val="clear" w:color="auto" w:fill="DBE5F1"/>
            <w:vAlign w:val="center"/>
          </w:tcPr>
          <w:p w:rsidR="0078628A" w:rsidRPr="00D84957" w:rsidRDefault="0078628A" w:rsidP="00AC72A3">
            <w:pPr>
              <w:spacing w:before="60" w:after="60"/>
              <w:jc w:val="center"/>
              <w:rPr>
                <w:sz w:val="18"/>
                <w:szCs w:val="18"/>
              </w:rPr>
            </w:pPr>
            <w:r w:rsidRPr="00D84957">
              <w:rPr>
                <w:b/>
                <w:sz w:val="18"/>
                <w:szCs w:val="18"/>
              </w:rPr>
              <w:t>Performance Target Was…</w:t>
            </w:r>
          </w:p>
        </w:tc>
        <w:tc>
          <w:tcPr>
            <w:tcW w:w="1224" w:type="dxa"/>
            <w:shd w:val="clear" w:color="auto" w:fill="DBE5F1"/>
            <w:vAlign w:val="center"/>
          </w:tcPr>
          <w:p w:rsidR="0078628A" w:rsidRPr="00D84957" w:rsidRDefault="0078628A" w:rsidP="00AC72A3">
            <w:pPr>
              <w:spacing w:before="60" w:after="60"/>
              <w:jc w:val="center"/>
              <w:rPr>
                <w:sz w:val="18"/>
                <w:szCs w:val="18"/>
              </w:rPr>
            </w:pPr>
            <w:r w:rsidRPr="00D84957">
              <w:rPr>
                <w:b/>
                <w:sz w:val="18"/>
                <w:szCs w:val="18"/>
              </w:rPr>
              <w:t>Performance Target Was…</w:t>
            </w:r>
          </w:p>
        </w:tc>
        <w:tc>
          <w:tcPr>
            <w:tcW w:w="1224" w:type="dxa"/>
            <w:gridSpan w:val="2"/>
            <w:shd w:val="clear" w:color="auto" w:fill="DBE5F1"/>
            <w:vAlign w:val="center"/>
          </w:tcPr>
          <w:p w:rsidR="0078628A" w:rsidRPr="00D84957" w:rsidRDefault="0078628A" w:rsidP="00AC72A3">
            <w:pPr>
              <w:spacing w:before="60" w:after="60"/>
              <w:jc w:val="center"/>
              <w:rPr>
                <w:sz w:val="18"/>
                <w:szCs w:val="18"/>
              </w:rPr>
            </w:pPr>
            <w:r w:rsidRPr="00D84957">
              <w:rPr>
                <w:b/>
                <w:sz w:val="18"/>
                <w:szCs w:val="18"/>
              </w:rPr>
              <w:t>Performance Target Was…</w:t>
            </w:r>
          </w:p>
        </w:tc>
        <w:tc>
          <w:tcPr>
            <w:tcW w:w="1224" w:type="dxa"/>
            <w:shd w:val="clear" w:color="auto" w:fill="DBE5F1"/>
            <w:vAlign w:val="center"/>
          </w:tcPr>
          <w:p w:rsidR="0078628A" w:rsidRPr="00D84957" w:rsidRDefault="0078628A" w:rsidP="00AC72A3">
            <w:pPr>
              <w:spacing w:before="60" w:after="60"/>
              <w:jc w:val="center"/>
              <w:rPr>
                <w:sz w:val="18"/>
                <w:szCs w:val="18"/>
              </w:rPr>
            </w:pPr>
          </w:p>
        </w:tc>
        <w:tc>
          <w:tcPr>
            <w:tcW w:w="1224" w:type="dxa"/>
            <w:shd w:val="clear" w:color="auto" w:fill="DBE5F1"/>
            <w:vAlign w:val="center"/>
          </w:tcPr>
          <w:p w:rsidR="0078628A" w:rsidRPr="00D84957" w:rsidRDefault="0078628A" w:rsidP="00AC72A3">
            <w:pPr>
              <w:spacing w:before="60" w:after="60"/>
              <w:jc w:val="center"/>
              <w:rPr>
                <w:sz w:val="18"/>
                <w:szCs w:val="18"/>
              </w:rPr>
            </w:pPr>
            <w:r w:rsidRPr="00D84957">
              <w:rPr>
                <w:b/>
                <w:sz w:val="18"/>
                <w:szCs w:val="18"/>
              </w:rPr>
              <w:t>Performance Target Was…</w:t>
            </w:r>
          </w:p>
        </w:tc>
        <w:tc>
          <w:tcPr>
            <w:tcW w:w="1224" w:type="dxa"/>
            <w:shd w:val="clear" w:color="auto" w:fill="DBE5F1"/>
            <w:vAlign w:val="center"/>
          </w:tcPr>
          <w:p w:rsidR="0078628A" w:rsidRPr="00D84957" w:rsidRDefault="0078628A" w:rsidP="00AC72A3">
            <w:pPr>
              <w:spacing w:before="60" w:after="60"/>
              <w:jc w:val="center"/>
              <w:rPr>
                <w:sz w:val="18"/>
                <w:szCs w:val="18"/>
              </w:rPr>
            </w:pPr>
            <w:r w:rsidRPr="00D84957">
              <w:rPr>
                <w:b/>
                <w:sz w:val="18"/>
                <w:szCs w:val="18"/>
              </w:rPr>
              <w:t>Performance Target Was…</w:t>
            </w:r>
          </w:p>
        </w:tc>
        <w:tc>
          <w:tcPr>
            <w:tcW w:w="1224" w:type="dxa"/>
            <w:shd w:val="clear" w:color="auto" w:fill="DBE5F1"/>
            <w:vAlign w:val="center"/>
          </w:tcPr>
          <w:p w:rsidR="0078628A" w:rsidRPr="00D84957" w:rsidRDefault="0078628A" w:rsidP="00AC72A3">
            <w:pPr>
              <w:spacing w:before="60" w:after="60"/>
              <w:jc w:val="center"/>
              <w:rPr>
                <w:sz w:val="18"/>
                <w:szCs w:val="18"/>
              </w:rPr>
            </w:pPr>
          </w:p>
        </w:tc>
        <w:tc>
          <w:tcPr>
            <w:tcW w:w="1224" w:type="dxa"/>
            <w:gridSpan w:val="2"/>
            <w:shd w:val="clear" w:color="auto" w:fill="DBE5F1"/>
            <w:vAlign w:val="center"/>
          </w:tcPr>
          <w:p w:rsidR="0078628A" w:rsidRPr="00D84957" w:rsidRDefault="0078628A" w:rsidP="00AC72A3">
            <w:pPr>
              <w:spacing w:before="60" w:after="60"/>
              <w:jc w:val="center"/>
              <w:rPr>
                <w:sz w:val="18"/>
                <w:szCs w:val="18"/>
              </w:rPr>
            </w:pPr>
          </w:p>
        </w:tc>
      </w:tr>
      <w:tr w:rsidR="0062145F" w:rsidTr="00D11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62145F" w:rsidRPr="008956AF" w:rsidRDefault="0062145F" w:rsidP="0062145F">
            <w:pPr>
              <w:spacing w:before="60" w:after="60"/>
              <w:rPr>
                <w:rFonts w:cs="Calibri"/>
                <w:sz w:val="20"/>
                <w:szCs w:val="20"/>
              </w:rPr>
            </w:pPr>
            <w:r w:rsidRPr="00F10A38">
              <w:rPr>
                <w:rFonts w:cs="Calibri"/>
                <w:b/>
                <w:i/>
                <w:sz w:val="20"/>
                <w:szCs w:val="20"/>
              </w:rPr>
              <w:t>Program Learning Outcome 1:</w:t>
            </w:r>
            <w:r w:rsidRPr="00671E9A">
              <w:rPr>
                <w:rFonts w:eastAsia="Times New Roman"/>
                <w:color w:val="1B1B1B"/>
                <w:szCs w:val="24"/>
              </w:rPr>
              <w:t xml:space="preserve"> Demonstrate content knowledge of core business concepts as well as specialized accounting information within the context of the accounting profession</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rPr>
                <w:sz w:val="20"/>
                <w:szCs w:val="20"/>
              </w:rPr>
            </w:pPr>
            <w:r>
              <w:rPr>
                <w:sz w:val="20"/>
                <w:szCs w:val="20"/>
              </w:rPr>
              <w:t>Not met</w:t>
            </w:r>
          </w:p>
          <w:p w:rsidR="0062145F" w:rsidRPr="008956AF" w:rsidRDefault="0062145F" w:rsidP="0062145F">
            <w:pPr>
              <w:jc w:val="center"/>
              <w:rPr>
                <w:sz w:val="20"/>
                <w:szCs w:val="20"/>
              </w:rPr>
            </w:pPr>
            <w:r>
              <w:rPr>
                <w:sz w:val="20"/>
                <w:szCs w:val="20"/>
              </w:rPr>
              <w:t>75%</w:t>
            </w:r>
          </w:p>
        </w:tc>
        <w:tc>
          <w:tcPr>
            <w:tcW w:w="1224" w:type="dxa"/>
            <w:gridSpan w:val="2"/>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pPr>
          </w:p>
        </w:tc>
        <w:tc>
          <w:tcPr>
            <w:tcW w:w="1224" w:type="dxa"/>
            <w:gridSpan w:val="2"/>
            <w:shd w:val="clear" w:color="auto" w:fill="auto"/>
            <w:tcMar>
              <w:top w:w="72" w:type="dxa"/>
              <w:bottom w:w="72" w:type="dxa"/>
            </w:tcMar>
            <w:vAlign w:val="center"/>
          </w:tcPr>
          <w:p w:rsidR="0062145F" w:rsidRDefault="0062145F" w:rsidP="0062145F">
            <w:pPr>
              <w:jc w:val="center"/>
            </w:pPr>
          </w:p>
        </w:tc>
      </w:tr>
      <w:tr w:rsidR="0062145F" w:rsidTr="00B37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62145F" w:rsidRPr="00F10A38" w:rsidRDefault="0062145F" w:rsidP="0062145F">
            <w:pPr>
              <w:contextualSpacing/>
              <w:rPr>
                <w:rFonts w:cs="Calibri"/>
                <w:b/>
                <w:i/>
                <w:sz w:val="20"/>
                <w:szCs w:val="20"/>
              </w:rPr>
            </w:pPr>
            <w:r w:rsidRPr="00F10A38">
              <w:rPr>
                <w:rFonts w:cs="Calibri"/>
                <w:b/>
                <w:i/>
                <w:sz w:val="20"/>
                <w:szCs w:val="20"/>
              </w:rPr>
              <w:t xml:space="preserve">Program Learning Outcome 2: </w:t>
            </w:r>
          </w:p>
          <w:p w:rsidR="0062145F" w:rsidRPr="00D31357" w:rsidRDefault="0062145F" w:rsidP="0062145F">
            <w:pPr>
              <w:contextualSpacing/>
              <w:rPr>
                <w:rFonts w:eastAsia="Times New Roman"/>
                <w:color w:val="1B1B1B"/>
                <w:szCs w:val="24"/>
              </w:rPr>
            </w:pPr>
            <w:r w:rsidRPr="00D31357">
              <w:rPr>
                <w:rFonts w:eastAsia="Times New Roman"/>
                <w:color w:val="1B1B1B"/>
                <w:szCs w:val="24"/>
              </w:rPr>
              <w:t>Apply technology-based skills to compile and analyze data to support organizational decision-making</w:t>
            </w:r>
          </w:p>
          <w:p w:rsidR="0062145F" w:rsidRPr="008956AF" w:rsidRDefault="0062145F" w:rsidP="0062145F">
            <w:pPr>
              <w:spacing w:before="60" w:after="60"/>
              <w:rPr>
                <w:rFonts w:cs="Calibri"/>
                <w:sz w:val="20"/>
                <w:szCs w:val="20"/>
              </w:rPr>
            </w:pPr>
          </w:p>
        </w:tc>
        <w:tc>
          <w:tcPr>
            <w:tcW w:w="1224" w:type="dxa"/>
            <w:shd w:val="clear" w:color="auto" w:fill="auto"/>
            <w:tcMar>
              <w:top w:w="72" w:type="dxa"/>
              <w:bottom w:w="72" w:type="dxa"/>
            </w:tcMar>
            <w:vAlign w:val="center"/>
          </w:tcPr>
          <w:p w:rsidR="0062145F" w:rsidRDefault="0062145F" w:rsidP="0062145F">
            <w:pPr>
              <w:jc w:val="center"/>
              <w:rPr>
                <w:sz w:val="20"/>
                <w:szCs w:val="20"/>
              </w:rPr>
            </w:pPr>
          </w:p>
          <w:p w:rsidR="0062145F" w:rsidRDefault="0062145F" w:rsidP="0062145F">
            <w:pPr>
              <w:jc w:val="center"/>
              <w:rPr>
                <w:sz w:val="20"/>
                <w:szCs w:val="20"/>
              </w:rPr>
            </w:pPr>
            <w:r>
              <w:rPr>
                <w:sz w:val="20"/>
                <w:szCs w:val="20"/>
              </w:rPr>
              <w:t>Not met</w:t>
            </w:r>
          </w:p>
          <w:p w:rsidR="0062145F" w:rsidRPr="008956AF" w:rsidRDefault="0062145F" w:rsidP="0062145F">
            <w:pPr>
              <w:jc w:val="center"/>
              <w:rPr>
                <w:sz w:val="20"/>
                <w:szCs w:val="20"/>
              </w:rPr>
            </w:pPr>
            <w:r>
              <w:rPr>
                <w:sz w:val="20"/>
                <w:szCs w:val="20"/>
              </w:rPr>
              <w:t>65%</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pPr>
          </w:p>
        </w:tc>
        <w:tc>
          <w:tcPr>
            <w:tcW w:w="1224" w:type="dxa"/>
            <w:gridSpan w:val="2"/>
            <w:shd w:val="clear" w:color="auto" w:fill="auto"/>
            <w:tcMar>
              <w:top w:w="72" w:type="dxa"/>
              <w:bottom w:w="72" w:type="dxa"/>
            </w:tcMar>
            <w:vAlign w:val="center"/>
          </w:tcPr>
          <w:p w:rsidR="0062145F" w:rsidRDefault="0062145F" w:rsidP="0062145F">
            <w:pPr>
              <w:jc w:val="center"/>
            </w:pPr>
          </w:p>
        </w:tc>
      </w:tr>
      <w:tr w:rsidR="0062145F" w:rsidTr="00BA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62145F" w:rsidRPr="008956AF" w:rsidRDefault="0062145F" w:rsidP="0062145F">
            <w:pPr>
              <w:contextualSpacing/>
              <w:rPr>
                <w:rFonts w:cs="Calibri"/>
                <w:sz w:val="20"/>
                <w:szCs w:val="20"/>
              </w:rPr>
            </w:pPr>
            <w:r w:rsidRPr="00F10A38">
              <w:rPr>
                <w:rFonts w:cs="Calibri"/>
                <w:b/>
                <w:i/>
                <w:sz w:val="20"/>
                <w:szCs w:val="20"/>
              </w:rPr>
              <w:lastRenderedPageBreak/>
              <w:t>Program Learning Outcome 3:</w:t>
            </w:r>
            <w:r w:rsidRPr="00D31357">
              <w:rPr>
                <w:rFonts w:eastAsia="Times New Roman"/>
                <w:color w:val="1B1B1B"/>
                <w:szCs w:val="24"/>
              </w:rPr>
              <w:t xml:space="preserve"> Communicate appropriate financial information and analyses within various business contexts</w:t>
            </w:r>
          </w:p>
        </w:tc>
        <w:tc>
          <w:tcPr>
            <w:tcW w:w="1224" w:type="dxa"/>
            <w:shd w:val="clear" w:color="auto" w:fill="auto"/>
            <w:tcMar>
              <w:top w:w="72" w:type="dxa"/>
              <w:bottom w:w="72" w:type="dxa"/>
            </w:tcMar>
            <w:vAlign w:val="center"/>
          </w:tcPr>
          <w:p w:rsidR="0062145F" w:rsidRDefault="0062145F" w:rsidP="0062145F">
            <w:pPr>
              <w:jc w:val="center"/>
              <w:rPr>
                <w:sz w:val="20"/>
                <w:szCs w:val="20"/>
              </w:rPr>
            </w:pPr>
            <w:r>
              <w:rPr>
                <w:sz w:val="20"/>
                <w:szCs w:val="20"/>
              </w:rPr>
              <w:t>Not met</w:t>
            </w:r>
          </w:p>
          <w:p w:rsidR="0062145F" w:rsidRPr="008956AF" w:rsidRDefault="0062145F" w:rsidP="0062145F">
            <w:pPr>
              <w:jc w:val="center"/>
              <w:rPr>
                <w:sz w:val="20"/>
                <w:szCs w:val="20"/>
              </w:rPr>
            </w:pPr>
            <w:r>
              <w:rPr>
                <w:sz w:val="20"/>
                <w:szCs w:val="20"/>
              </w:rPr>
              <w:t>88%</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pPr>
          </w:p>
        </w:tc>
        <w:tc>
          <w:tcPr>
            <w:tcW w:w="1224" w:type="dxa"/>
            <w:gridSpan w:val="2"/>
            <w:shd w:val="clear" w:color="auto" w:fill="auto"/>
            <w:tcMar>
              <w:top w:w="72" w:type="dxa"/>
              <w:bottom w:w="72" w:type="dxa"/>
            </w:tcMar>
            <w:vAlign w:val="center"/>
          </w:tcPr>
          <w:p w:rsidR="0062145F" w:rsidRDefault="0062145F" w:rsidP="0062145F">
            <w:pPr>
              <w:jc w:val="center"/>
            </w:pPr>
          </w:p>
        </w:tc>
      </w:tr>
      <w:tr w:rsidR="0062145F" w:rsidTr="007D4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62145F" w:rsidRPr="00F10A38" w:rsidRDefault="0062145F" w:rsidP="0062145F">
            <w:pPr>
              <w:contextualSpacing/>
              <w:rPr>
                <w:rFonts w:cs="Calibri"/>
                <w:b/>
                <w:i/>
                <w:sz w:val="20"/>
                <w:szCs w:val="20"/>
              </w:rPr>
            </w:pPr>
            <w:r w:rsidRPr="00F10A38">
              <w:rPr>
                <w:rFonts w:cs="Calibri"/>
                <w:b/>
                <w:i/>
                <w:sz w:val="20"/>
                <w:szCs w:val="20"/>
              </w:rPr>
              <w:t>Program Learning Outcome 4:</w:t>
            </w:r>
          </w:p>
          <w:p w:rsidR="0062145F" w:rsidRPr="008956AF" w:rsidRDefault="0062145F" w:rsidP="0062145F">
            <w:pPr>
              <w:contextualSpacing/>
              <w:rPr>
                <w:rFonts w:cs="Calibri"/>
                <w:sz w:val="20"/>
                <w:szCs w:val="20"/>
              </w:rPr>
            </w:pPr>
            <w:r>
              <w:t xml:space="preserve">Prepare relevant financial information </w:t>
            </w:r>
            <w:r w:rsidRPr="00D31357">
              <w:rPr>
                <w:rFonts w:eastAsia="Times New Roman"/>
                <w:color w:val="1B1B1B"/>
                <w:szCs w:val="24"/>
              </w:rPr>
              <w:t>to support responsible decision-making</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pPr>
          </w:p>
        </w:tc>
        <w:tc>
          <w:tcPr>
            <w:tcW w:w="1224" w:type="dxa"/>
            <w:gridSpan w:val="2"/>
            <w:shd w:val="clear" w:color="auto" w:fill="auto"/>
            <w:tcMar>
              <w:top w:w="72" w:type="dxa"/>
              <w:bottom w:w="72" w:type="dxa"/>
            </w:tcMar>
            <w:vAlign w:val="center"/>
          </w:tcPr>
          <w:p w:rsidR="0062145F" w:rsidRDefault="0062145F" w:rsidP="0062145F">
            <w:pPr>
              <w:jc w:val="center"/>
            </w:pPr>
          </w:p>
        </w:tc>
      </w:tr>
      <w:tr w:rsidR="0062145F" w:rsidTr="00F77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62145F" w:rsidRPr="008956AF" w:rsidRDefault="0062145F" w:rsidP="0062145F">
            <w:pPr>
              <w:contextualSpacing/>
              <w:rPr>
                <w:rFonts w:cs="Calibri"/>
                <w:sz w:val="20"/>
                <w:szCs w:val="20"/>
              </w:rPr>
            </w:pPr>
            <w:r w:rsidRPr="00F10A38">
              <w:rPr>
                <w:rFonts w:cs="Calibri"/>
                <w:b/>
                <w:i/>
                <w:sz w:val="20"/>
                <w:szCs w:val="20"/>
              </w:rPr>
              <w:t>Program Learning Outcome 5</w:t>
            </w:r>
            <w:r w:rsidRPr="00F10A38">
              <w:rPr>
                <w:rFonts w:cs="Calibri"/>
                <w:b/>
              </w:rPr>
              <w:t xml:space="preserve">: </w:t>
            </w:r>
            <w:r w:rsidRPr="00D31357">
              <w:rPr>
                <w:rFonts w:cs="Calibri"/>
              </w:rPr>
              <w:t>Integrate legal and ethical concepts to inform business decisions</w:t>
            </w:r>
          </w:p>
        </w:tc>
        <w:tc>
          <w:tcPr>
            <w:tcW w:w="1224" w:type="dxa"/>
            <w:shd w:val="clear" w:color="auto" w:fill="auto"/>
            <w:tcMar>
              <w:top w:w="72" w:type="dxa"/>
              <w:bottom w:w="72" w:type="dxa"/>
            </w:tcMar>
            <w:vAlign w:val="center"/>
          </w:tcPr>
          <w:p w:rsidR="0062145F" w:rsidRDefault="0062145F" w:rsidP="0062145F">
            <w:pPr>
              <w:jc w:val="center"/>
              <w:rPr>
                <w:sz w:val="20"/>
                <w:szCs w:val="20"/>
              </w:rPr>
            </w:pPr>
            <w:r>
              <w:rPr>
                <w:sz w:val="20"/>
                <w:szCs w:val="20"/>
              </w:rPr>
              <w:t>Not met</w:t>
            </w:r>
          </w:p>
          <w:p w:rsidR="0062145F" w:rsidRPr="008956AF" w:rsidRDefault="0062145F" w:rsidP="0062145F">
            <w:pPr>
              <w:jc w:val="center"/>
              <w:rPr>
                <w:sz w:val="20"/>
                <w:szCs w:val="20"/>
              </w:rPr>
            </w:pPr>
            <w:r>
              <w:rPr>
                <w:sz w:val="20"/>
                <w:szCs w:val="20"/>
              </w:rPr>
              <w:t>82%</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N/A</w:t>
            </w:r>
          </w:p>
        </w:tc>
        <w:tc>
          <w:tcPr>
            <w:tcW w:w="1224" w:type="dxa"/>
            <w:gridSpan w:val="2"/>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pPr>
          </w:p>
        </w:tc>
        <w:tc>
          <w:tcPr>
            <w:tcW w:w="1224" w:type="dxa"/>
            <w:gridSpan w:val="2"/>
            <w:shd w:val="clear" w:color="auto" w:fill="auto"/>
            <w:tcMar>
              <w:top w:w="72" w:type="dxa"/>
              <w:bottom w:w="72" w:type="dxa"/>
            </w:tcMar>
            <w:vAlign w:val="center"/>
          </w:tcPr>
          <w:p w:rsidR="0062145F" w:rsidRDefault="0062145F" w:rsidP="0062145F">
            <w:pPr>
              <w:jc w:val="center"/>
            </w:pPr>
          </w:p>
        </w:tc>
      </w:tr>
      <w:tr w:rsidR="0062145F" w:rsidTr="00BD4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62145F" w:rsidRPr="008956AF" w:rsidRDefault="0062145F" w:rsidP="0062145F">
            <w:pPr>
              <w:contextualSpacing/>
              <w:rPr>
                <w:rFonts w:cs="Calibri"/>
                <w:i/>
                <w:sz w:val="20"/>
                <w:szCs w:val="20"/>
              </w:rPr>
            </w:pPr>
            <w:r w:rsidRPr="00F10A38">
              <w:rPr>
                <w:rFonts w:cs="Calibri"/>
                <w:b/>
                <w:i/>
                <w:sz w:val="20"/>
                <w:szCs w:val="20"/>
              </w:rPr>
              <w:t>Program Learning Outcome 6:</w:t>
            </w:r>
            <w:r>
              <w:rPr>
                <w:rFonts w:cs="Calibri"/>
                <w:i/>
                <w:sz w:val="20"/>
                <w:szCs w:val="20"/>
              </w:rPr>
              <w:t xml:space="preserve"> </w:t>
            </w:r>
            <w:r w:rsidRPr="00D31357">
              <w:rPr>
                <w:rFonts w:eastAsia="Times New Roman"/>
                <w:color w:val="1B1B1B"/>
                <w:szCs w:val="24"/>
              </w:rPr>
              <w:t>Perform research to access, understand, apply and communicate relevant accounting information</w:t>
            </w:r>
          </w:p>
        </w:tc>
        <w:tc>
          <w:tcPr>
            <w:tcW w:w="1224" w:type="dxa"/>
            <w:shd w:val="clear" w:color="auto" w:fill="auto"/>
            <w:tcMar>
              <w:top w:w="72" w:type="dxa"/>
              <w:bottom w:w="72" w:type="dxa"/>
            </w:tcMar>
            <w:vAlign w:val="center"/>
          </w:tcPr>
          <w:p w:rsidR="0062145F" w:rsidRDefault="0062145F" w:rsidP="0062145F">
            <w:pPr>
              <w:jc w:val="center"/>
              <w:rPr>
                <w:sz w:val="20"/>
                <w:szCs w:val="20"/>
              </w:rPr>
            </w:pPr>
            <w:r>
              <w:rPr>
                <w:sz w:val="20"/>
                <w:szCs w:val="20"/>
              </w:rPr>
              <w:t>Not met</w:t>
            </w:r>
          </w:p>
          <w:p w:rsidR="0062145F" w:rsidRPr="008956AF" w:rsidRDefault="0062145F" w:rsidP="0062145F">
            <w:pPr>
              <w:jc w:val="center"/>
              <w:rPr>
                <w:sz w:val="20"/>
                <w:szCs w:val="20"/>
              </w:rPr>
            </w:pPr>
            <w:r>
              <w:rPr>
                <w:sz w:val="20"/>
                <w:szCs w:val="20"/>
              </w:rPr>
              <w:t>47%</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pPr>
          </w:p>
        </w:tc>
        <w:tc>
          <w:tcPr>
            <w:tcW w:w="1224" w:type="dxa"/>
            <w:gridSpan w:val="2"/>
            <w:shd w:val="clear" w:color="auto" w:fill="auto"/>
            <w:tcMar>
              <w:top w:w="72" w:type="dxa"/>
              <w:bottom w:w="72" w:type="dxa"/>
            </w:tcMar>
            <w:vAlign w:val="center"/>
          </w:tcPr>
          <w:p w:rsidR="0062145F" w:rsidRDefault="0062145F" w:rsidP="0062145F">
            <w:pPr>
              <w:jc w:val="center"/>
            </w:pPr>
          </w:p>
        </w:tc>
      </w:tr>
      <w:tr w:rsidR="0062145F" w:rsidTr="00FF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62145F" w:rsidRPr="008956AF" w:rsidRDefault="0062145F" w:rsidP="0062145F">
            <w:pPr>
              <w:spacing w:before="60" w:after="60"/>
              <w:rPr>
                <w:rFonts w:cs="Calibri"/>
                <w:i/>
                <w:sz w:val="20"/>
                <w:szCs w:val="20"/>
              </w:rPr>
            </w:pPr>
            <w:r w:rsidRPr="00F10A38">
              <w:rPr>
                <w:rFonts w:cs="Calibri"/>
                <w:b/>
                <w:i/>
                <w:sz w:val="20"/>
                <w:szCs w:val="20"/>
              </w:rPr>
              <w:t>Program Learning Outcome 7:</w:t>
            </w:r>
            <w:r>
              <w:rPr>
                <w:rFonts w:cs="Calibri"/>
                <w:i/>
                <w:sz w:val="20"/>
                <w:szCs w:val="20"/>
              </w:rPr>
              <w:t xml:space="preserve"> </w:t>
            </w:r>
            <w:r>
              <w:t>Distinguish between alternate accounting treatments to effectively represent business transaction</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Pr="008956AF" w:rsidRDefault="0062145F" w:rsidP="0062145F">
            <w:pPr>
              <w:jc w:val="center"/>
              <w:rPr>
                <w:sz w:val="20"/>
                <w:szCs w:val="20"/>
              </w:rPr>
            </w:pPr>
            <w:r>
              <w:rPr>
                <w:sz w:val="20"/>
                <w:szCs w:val="20"/>
              </w:rPr>
              <w:t>Met</w:t>
            </w:r>
          </w:p>
        </w:tc>
        <w:tc>
          <w:tcPr>
            <w:tcW w:w="1224" w:type="dxa"/>
            <w:shd w:val="clear" w:color="auto" w:fill="auto"/>
            <w:tcMar>
              <w:top w:w="72" w:type="dxa"/>
              <w:bottom w:w="72" w:type="dxa"/>
            </w:tcMar>
            <w:vAlign w:val="center"/>
          </w:tcPr>
          <w:p w:rsidR="0062145F" w:rsidRDefault="0062145F" w:rsidP="0062145F">
            <w:pPr>
              <w:jc w:val="center"/>
            </w:pPr>
          </w:p>
        </w:tc>
        <w:tc>
          <w:tcPr>
            <w:tcW w:w="1224" w:type="dxa"/>
            <w:gridSpan w:val="2"/>
            <w:shd w:val="clear" w:color="auto" w:fill="auto"/>
            <w:tcMar>
              <w:top w:w="72" w:type="dxa"/>
              <w:bottom w:w="72" w:type="dxa"/>
            </w:tcMar>
            <w:vAlign w:val="center"/>
          </w:tcPr>
          <w:p w:rsidR="0062145F" w:rsidRDefault="0062145F" w:rsidP="0062145F">
            <w:pPr>
              <w:jc w:val="center"/>
            </w:pPr>
          </w:p>
        </w:tc>
      </w:tr>
      <w:tr w:rsidR="00B80C97" w:rsidTr="00FF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B80C97" w:rsidRDefault="00B80C97" w:rsidP="00B80C97">
            <w:pPr>
              <w:spacing w:after="160" w:line="259" w:lineRule="auto"/>
              <w:contextualSpacing/>
              <w:rPr>
                <w:rFonts w:cs="Calibri"/>
                <w:b/>
                <w:i/>
                <w:sz w:val="20"/>
                <w:szCs w:val="20"/>
              </w:rPr>
            </w:pPr>
            <w:r w:rsidRPr="00F10A38">
              <w:rPr>
                <w:rFonts w:cs="Calibri"/>
                <w:b/>
                <w:i/>
                <w:sz w:val="20"/>
                <w:szCs w:val="20"/>
              </w:rPr>
              <w:t>Program Learning Outcome</w:t>
            </w:r>
            <w:r>
              <w:rPr>
                <w:rFonts w:cs="Calibri"/>
                <w:b/>
                <w:i/>
                <w:sz w:val="20"/>
                <w:szCs w:val="20"/>
              </w:rPr>
              <w:t xml:space="preserve"> 8:</w:t>
            </w:r>
          </w:p>
          <w:p w:rsidR="00B80C97" w:rsidRPr="008956AF" w:rsidRDefault="00B80C97" w:rsidP="00B80C97">
            <w:pPr>
              <w:spacing w:after="160" w:line="259" w:lineRule="auto"/>
              <w:contextualSpacing/>
              <w:rPr>
                <w:rFonts w:cs="Calibri"/>
                <w:sz w:val="20"/>
                <w:szCs w:val="20"/>
              </w:rPr>
            </w:pPr>
            <w:r w:rsidRPr="00F10A38">
              <w:rPr>
                <w:rFonts w:cs="Calibri"/>
                <w:b/>
                <w:i/>
                <w:sz w:val="20"/>
                <w:szCs w:val="20"/>
              </w:rPr>
              <w:t xml:space="preserve"> </w:t>
            </w:r>
            <w:r>
              <w:t xml:space="preserve">Apply </w:t>
            </w:r>
            <w:r w:rsidRPr="00CA6E75">
              <w:rPr>
                <w:rFonts w:eastAsia="Times New Roman"/>
                <w:szCs w:val="24"/>
              </w:rPr>
              <w:t>advanced accounting theories and concepts</w:t>
            </w:r>
            <w:r>
              <w:t xml:space="preserve"> </w:t>
            </w:r>
            <w:r w:rsidRPr="00CA6E75">
              <w:rPr>
                <w:rFonts w:eastAsia="Times New Roman"/>
                <w:szCs w:val="24"/>
              </w:rPr>
              <w:t>to assess and represent accounting information</w:t>
            </w:r>
            <w:r>
              <w:t xml:space="preserve"> </w:t>
            </w:r>
          </w:p>
        </w:tc>
        <w:tc>
          <w:tcPr>
            <w:tcW w:w="1224" w:type="dxa"/>
            <w:shd w:val="clear" w:color="auto" w:fill="auto"/>
            <w:tcMar>
              <w:top w:w="72" w:type="dxa"/>
              <w:bottom w:w="72" w:type="dxa"/>
            </w:tcMar>
            <w:vAlign w:val="center"/>
          </w:tcPr>
          <w:p w:rsidR="00B80C97" w:rsidRDefault="00B80C97" w:rsidP="00B80C97">
            <w:pPr>
              <w:jc w:val="center"/>
              <w:rPr>
                <w:sz w:val="20"/>
                <w:szCs w:val="20"/>
              </w:rPr>
            </w:pPr>
          </w:p>
          <w:p w:rsidR="00B80C97" w:rsidRDefault="00B80C97" w:rsidP="00B80C97">
            <w:pPr>
              <w:jc w:val="center"/>
              <w:rPr>
                <w:sz w:val="20"/>
                <w:szCs w:val="20"/>
              </w:rPr>
            </w:pPr>
          </w:p>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Default="00B80C97" w:rsidP="00B80C97">
            <w:pPr>
              <w:jc w:val="center"/>
              <w:rPr>
                <w:sz w:val="20"/>
                <w:szCs w:val="20"/>
              </w:rPr>
            </w:pPr>
          </w:p>
          <w:p w:rsidR="00B80C97" w:rsidRDefault="00B80C97" w:rsidP="00B80C97">
            <w:pPr>
              <w:jc w:val="center"/>
              <w:rPr>
                <w:sz w:val="20"/>
                <w:szCs w:val="20"/>
              </w:rPr>
            </w:pPr>
          </w:p>
          <w:p w:rsidR="00B80C97" w:rsidRPr="008956AF" w:rsidRDefault="00B80C97" w:rsidP="00B80C97">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Default="00B80C97" w:rsidP="00B80C97">
            <w:pPr>
              <w:jc w:val="center"/>
              <w:rPr>
                <w:sz w:val="20"/>
                <w:szCs w:val="20"/>
              </w:rPr>
            </w:pPr>
          </w:p>
          <w:p w:rsidR="00B80C97" w:rsidRDefault="00B80C97" w:rsidP="00B80C97">
            <w:pPr>
              <w:jc w:val="center"/>
              <w:rPr>
                <w:sz w:val="20"/>
                <w:szCs w:val="20"/>
              </w:rPr>
            </w:pPr>
          </w:p>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Default="00B80C97" w:rsidP="00B80C97">
            <w:pPr>
              <w:jc w:val="center"/>
              <w:rPr>
                <w:sz w:val="20"/>
                <w:szCs w:val="20"/>
              </w:rPr>
            </w:pPr>
          </w:p>
          <w:p w:rsidR="00B80C97" w:rsidRDefault="00B80C97" w:rsidP="00B80C97">
            <w:pPr>
              <w:jc w:val="center"/>
              <w:rPr>
                <w:sz w:val="20"/>
                <w:szCs w:val="20"/>
              </w:rPr>
            </w:pPr>
          </w:p>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Default="00B80C97" w:rsidP="00B80C97">
            <w:pPr>
              <w:jc w:val="center"/>
            </w:pPr>
          </w:p>
        </w:tc>
        <w:tc>
          <w:tcPr>
            <w:tcW w:w="1224" w:type="dxa"/>
            <w:gridSpan w:val="2"/>
            <w:shd w:val="clear" w:color="auto" w:fill="auto"/>
            <w:tcMar>
              <w:top w:w="72" w:type="dxa"/>
              <w:bottom w:w="72" w:type="dxa"/>
            </w:tcMar>
            <w:vAlign w:val="center"/>
          </w:tcPr>
          <w:p w:rsidR="00B80C97" w:rsidRDefault="00B80C97" w:rsidP="00B80C97">
            <w:pPr>
              <w:jc w:val="center"/>
            </w:pPr>
          </w:p>
        </w:tc>
      </w:tr>
      <w:tr w:rsidR="00B80C97" w:rsidTr="00FF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B80C97" w:rsidRPr="008956AF" w:rsidRDefault="00B80C97" w:rsidP="00B80C97">
            <w:pPr>
              <w:contextualSpacing/>
              <w:rPr>
                <w:rFonts w:cs="Calibri"/>
                <w:sz w:val="20"/>
                <w:szCs w:val="20"/>
              </w:rPr>
            </w:pPr>
            <w:r w:rsidRPr="00F10A38">
              <w:rPr>
                <w:rFonts w:cs="Calibri"/>
                <w:b/>
                <w:i/>
                <w:sz w:val="20"/>
                <w:szCs w:val="20"/>
              </w:rPr>
              <w:t>Program Learning Outcome</w:t>
            </w:r>
            <w:r>
              <w:rPr>
                <w:rFonts w:cs="Calibri"/>
                <w:b/>
                <w:i/>
                <w:sz w:val="20"/>
                <w:szCs w:val="20"/>
              </w:rPr>
              <w:t xml:space="preserve"> 9:</w:t>
            </w:r>
            <w:r w:rsidRPr="00F10A38">
              <w:rPr>
                <w:rFonts w:cs="Calibri"/>
                <w:b/>
                <w:i/>
                <w:sz w:val="20"/>
                <w:szCs w:val="20"/>
              </w:rPr>
              <w:t xml:space="preserve"> </w:t>
            </w:r>
            <w:r w:rsidRPr="00D50CFC">
              <w:t>Integrate</w:t>
            </w:r>
            <w:r>
              <w:t xml:space="preserve"> </w:t>
            </w:r>
            <w:r w:rsidRPr="00CA6E75">
              <w:rPr>
                <w:rFonts w:cs="Calibri"/>
              </w:rPr>
              <w:t xml:space="preserve">knowledge of accounting and business concepts </w:t>
            </w:r>
            <w:r>
              <w:t xml:space="preserve">to inform </w:t>
            </w:r>
            <w:r w:rsidRPr="00D50CFC">
              <w:t>business</w:t>
            </w:r>
            <w:r>
              <w:t xml:space="preserve"> decisions</w:t>
            </w: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Default="00B80C97" w:rsidP="00B80C97">
            <w:pPr>
              <w:jc w:val="center"/>
              <w:rPr>
                <w:sz w:val="20"/>
                <w:szCs w:val="20"/>
              </w:rPr>
            </w:pPr>
            <w:r>
              <w:rPr>
                <w:sz w:val="20"/>
                <w:szCs w:val="20"/>
              </w:rPr>
              <w:t>Not met</w:t>
            </w:r>
          </w:p>
          <w:p w:rsidR="00B80C97" w:rsidRPr="008956AF" w:rsidRDefault="00B80C97" w:rsidP="00B80C97">
            <w:pPr>
              <w:jc w:val="center"/>
              <w:rPr>
                <w:sz w:val="20"/>
                <w:szCs w:val="20"/>
              </w:rPr>
            </w:pPr>
            <w:r>
              <w:rPr>
                <w:sz w:val="20"/>
                <w:szCs w:val="20"/>
              </w:rPr>
              <w:t>75%</w:t>
            </w:r>
          </w:p>
        </w:tc>
        <w:tc>
          <w:tcPr>
            <w:tcW w:w="1224" w:type="dxa"/>
            <w:gridSpan w:val="2"/>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Default="00B80C97" w:rsidP="00B80C97">
            <w:pPr>
              <w:jc w:val="center"/>
            </w:pPr>
          </w:p>
        </w:tc>
        <w:tc>
          <w:tcPr>
            <w:tcW w:w="1224" w:type="dxa"/>
            <w:gridSpan w:val="2"/>
            <w:shd w:val="clear" w:color="auto" w:fill="auto"/>
            <w:tcMar>
              <w:top w:w="72" w:type="dxa"/>
              <w:bottom w:w="72" w:type="dxa"/>
            </w:tcMar>
            <w:vAlign w:val="center"/>
          </w:tcPr>
          <w:p w:rsidR="00B80C97" w:rsidRDefault="00B80C97" w:rsidP="00B80C97">
            <w:pPr>
              <w:jc w:val="center"/>
            </w:pPr>
          </w:p>
        </w:tc>
      </w:tr>
      <w:tr w:rsidR="00B80C97" w:rsidTr="00FF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B80C97" w:rsidRPr="008956AF" w:rsidRDefault="00B80C97" w:rsidP="00B80C97">
            <w:pPr>
              <w:contextualSpacing/>
              <w:rPr>
                <w:rFonts w:cs="Calibri"/>
                <w:sz w:val="20"/>
                <w:szCs w:val="20"/>
              </w:rPr>
            </w:pPr>
            <w:r w:rsidRPr="00F10A38">
              <w:rPr>
                <w:rFonts w:cs="Calibri"/>
                <w:b/>
                <w:i/>
                <w:sz w:val="20"/>
                <w:szCs w:val="20"/>
              </w:rPr>
              <w:t>Program Learning Outcome</w:t>
            </w:r>
            <w:r>
              <w:rPr>
                <w:rFonts w:cs="Calibri"/>
                <w:b/>
                <w:i/>
                <w:sz w:val="20"/>
                <w:szCs w:val="20"/>
              </w:rPr>
              <w:t xml:space="preserve"> 10:</w:t>
            </w:r>
            <w:r w:rsidRPr="00F10A38">
              <w:rPr>
                <w:rFonts w:cs="Calibri"/>
                <w:b/>
                <w:i/>
                <w:sz w:val="20"/>
                <w:szCs w:val="20"/>
              </w:rPr>
              <w:t xml:space="preserve"> </w:t>
            </w:r>
            <w:r>
              <w:t>Formulate Strategies, solutions and recommendations within various business contexts</w:t>
            </w: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Default="00B80C97" w:rsidP="00B80C97">
            <w:pPr>
              <w:jc w:val="center"/>
            </w:pPr>
          </w:p>
        </w:tc>
        <w:tc>
          <w:tcPr>
            <w:tcW w:w="1224" w:type="dxa"/>
            <w:gridSpan w:val="2"/>
            <w:shd w:val="clear" w:color="auto" w:fill="auto"/>
            <w:tcMar>
              <w:top w:w="72" w:type="dxa"/>
              <w:bottom w:w="72" w:type="dxa"/>
            </w:tcMar>
            <w:vAlign w:val="center"/>
          </w:tcPr>
          <w:p w:rsidR="00B80C97" w:rsidRDefault="00B80C97" w:rsidP="00B80C97">
            <w:pPr>
              <w:jc w:val="center"/>
            </w:pPr>
          </w:p>
        </w:tc>
      </w:tr>
      <w:tr w:rsidR="00B80C97" w:rsidTr="00FF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7" w:type="dxa"/>
          <w:trHeight w:val="20"/>
          <w:jc w:val="center"/>
        </w:trPr>
        <w:tc>
          <w:tcPr>
            <w:tcW w:w="3744" w:type="dxa"/>
            <w:shd w:val="clear" w:color="auto" w:fill="auto"/>
            <w:tcMar>
              <w:top w:w="72" w:type="dxa"/>
              <w:left w:w="115" w:type="dxa"/>
              <w:bottom w:w="72" w:type="dxa"/>
              <w:right w:w="115" w:type="dxa"/>
            </w:tcMar>
            <w:vAlign w:val="center"/>
          </w:tcPr>
          <w:p w:rsidR="00B80C97" w:rsidRPr="008956AF" w:rsidRDefault="00B80C97" w:rsidP="00B80C97">
            <w:pPr>
              <w:spacing w:before="60" w:after="60"/>
              <w:rPr>
                <w:rFonts w:cs="Calibri"/>
                <w:sz w:val="20"/>
                <w:szCs w:val="20"/>
              </w:rPr>
            </w:pPr>
            <w:r w:rsidRPr="00F10A38">
              <w:rPr>
                <w:rFonts w:cs="Calibri"/>
                <w:b/>
                <w:i/>
                <w:sz w:val="20"/>
                <w:szCs w:val="20"/>
              </w:rPr>
              <w:lastRenderedPageBreak/>
              <w:t>Program Learning Outcome</w:t>
            </w:r>
            <w:r>
              <w:rPr>
                <w:rFonts w:cs="Calibri"/>
                <w:b/>
                <w:i/>
                <w:sz w:val="20"/>
                <w:szCs w:val="20"/>
              </w:rPr>
              <w:t xml:space="preserve"> 11:</w:t>
            </w:r>
            <w:r w:rsidRPr="00F10A38">
              <w:rPr>
                <w:rFonts w:cs="Calibri"/>
                <w:b/>
                <w:i/>
                <w:sz w:val="20"/>
                <w:szCs w:val="20"/>
              </w:rPr>
              <w:t xml:space="preserve"> </w:t>
            </w:r>
            <w:r w:rsidRPr="00C42E65">
              <w:rPr>
                <w:rFonts w:eastAsia="Times New Roman"/>
                <w:szCs w:val="24"/>
              </w:rPr>
              <w:t>Assess</w:t>
            </w:r>
            <w:r>
              <w:t xml:space="preserve"> </w:t>
            </w:r>
            <w:r w:rsidRPr="00C42E65">
              <w:rPr>
                <w:rFonts w:eastAsia="Times New Roman"/>
                <w:szCs w:val="24"/>
              </w:rPr>
              <w:t>accounting and business issues</w:t>
            </w:r>
            <w:r>
              <w:t xml:space="preserve"> </w:t>
            </w:r>
            <w:r w:rsidRPr="00C42E65">
              <w:rPr>
                <w:rFonts w:eastAsia="Times New Roman"/>
                <w:szCs w:val="24"/>
              </w:rPr>
              <w:t>in an advanced global context</w:t>
            </w:r>
          </w:p>
        </w:tc>
        <w:tc>
          <w:tcPr>
            <w:tcW w:w="1224" w:type="dxa"/>
            <w:shd w:val="clear" w:color="auto" w:fill="auto"/>
            <w:tcMar>
              <w:top w:w="72" w:type="dxa"/>
              <w:bottom w:w="72" w:type="dxa"/>
            </w:tcMar>
            <w:vAlign w:val="center"/>
          </w:tcPr>
          <w:p w:rsidR="00B80C97" w:rsidRDefault="00B80C97" w:rsidP="00B80C97">
            <w:pPr>
              <w:jc w:val="center"/>
              <w:rPr>
                <w:sz w:val="20"/>
                <w:szCs w:val="20"/>
              </w:rPr>
            </w:pPr>
            <w:r>
              <w:rPr>
                <w:sz w:val="20"/>
                <w:szCs w:val="20"/>
              </w:rPr>
              <w:t>Not met</w:t>
            </w:r>
          </w:p>
          <w:p w:rsidR="00B80C97" w:rsidRPr="008956AF" w:rsidRDefault="00B80C97" w:rsidP="00B80C97">
            <w:pPr>
              <w:jc w:val="center"/>
              <w:rPr>
                <w:sz w:val="20"/>
                <w:szCs w:val="20"/>
              </w:rPr>
            </w:pPr>
            <w:r>
              <w:rPr>
                <w:sz w:val="20"/>
                <w:szCs w:val="20"/>
              </w:rPr>
              <w:t>65%</w:t>
            </w: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gridSpan w:val="2"/>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Pr="008956AF" w:rsidRDefault="00B80C97" w:rsidP="00B80C97">
            <w:pPr>
              <w:jc w:val="center"/>
              <w:rPr>
                <w:sz w:val="20"/>
                <w:szCs w:val="20"/>
              </w:rPr>
            </w:pPr>
            <w:r>
              <w:rPr>
                <w:sz w:val="20"/>
                <w:szCs w:val="20"/>
              </w:rPr>
              <w:t>Met</w:t>
            </w:r>
          </w:p>
        </w:tc>
        <w:tc>
          <w:tcPr>
            <w:tcW w:w="1224" w:type="dxa"/>
            <w:shd w:val="clear" w:color="auto" w:fill="auto"/>
            <w:tcMar>
              <w:top w:w="72" w:type="dxa"/>
              <w:bottom w:w="72" w:type="dxa"/>
            </w:tcMar>
            <w:vAlign w:val="center"/>
          </w:tcPr>
          <w:p w:rsidR="00B80C97" w:rsidRDefault="00B80C97" w:rsidP="00B80C97">
            <w:pPr>
              <w:jc w:val="center"/>
            </w:pPr>
          </w:p>
        </w:tc>
        <w:tc>
          <w:tcPr>
            <w:tcW w:w="1224" w:type="dxa"/>
            <w:gridSpan w:val="2"/>
            <w:shd w:val="clear" w:color="auto" w:fill="auto"/>
            <w:tcMar>
              <w:top w:w="72" w:type="dxa"/>
              <w:bottom w:w="72" w:type="dxa"/>
            </w:tcMar>
            <w:vAlign w:val="center"/>
          </w:tcPr>
          <w:p w:rsidR="00B80C97" w:rsidRDefault="00B80C97" w:rsidP="00B80C97">
            <w:pPr>
              <w:jc w:val="center"/>
            </w:pPr>
          </w:p>
        </w:tc>
      </w:tr>
      <w:tr w:rsidR="00B80C97" w:rsidRPr="001C62E2"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32"/>
          <w:jc w:val="center"/>
        </w:trPr>
        <w:tc>
          <w:tcPr>
            <w:tcW w:w="13536" w:type="dxa"/>
            <w:gridSpan w:val="11"/>
            <w:tcBorders>
              <w:top w:val="nil"/>
            </w:tcBorders>
            <w:shd w:val="clear" w:color="auto" w:fill="DBE5F1"/>
            <w:tcMar>
              <w:left w:w="115" w:type="dxa"/>
              <w:right w:w="0" w:type="dxa"/>
            </w:tcMar>
            <w:vAlign w:val="center"/>
          </w:tcPr>
          <w:p w:rsidR="00B80C97" w:rsidRPr="00CF1111" w:rsidRDefault="00B80C97" w:rsidP="00B80C97">
            <w:pPr>
              <w:spacing w:before="60" w:after="60"/>
              <w:rPr>
                <w:rFonts w:cs="Calibri"/>
                <w:b/>
              </w:rPr>
            </w:pPr>
            <w:r w:rsidRPr="00CF1111">
              <w:rPr>
                <w:rFonts w:cs="Calibri"/>
                <w:b/>
              </w:rPr>
              <w:t>Proposed Courses of Action for Improvement in Learning Outcomes for which Performance Targets Were Not Met:</w:t>
            </w:r>
          </w:p>
        </w:tc>
      </w:tr>
      <w:tr w:rsidR="00B80C97" w:rsidRPr="001C62E2"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13536" w:type="dxa"/>
            <w:gridSpan w:val="11"/>
            <w:tcMar>
              <w:top w:w="72" w:type="dxa"/>
              <w:left w:w="115" w:type="dxa"/>
              <w:bottom w:w="72" w:type="dxa"/>
              <w:right w:w="115" w:type="dxa"/>
            </w:tcMar>
          </w:tcPr>
          <w:p w:rsidR="00B80C97" w:rsidRPr="001C62E2" w:rsidRDefault="00B80C97" w:rsidP="00251929">
            <w:pPr>
              <w:numPr>
                <w:ilvl w:val="0"/>
                <w:numId w:val="20"/>
              </w:numPr>
              <w:ind w:left="144" w:hanging="144"/>
              <w:rPr>
                <w:rFonts w:cs="Calibri"/>
                <w:i/>
              </w:rPr>
            </w:pPr>
            <w:r>
              <w:rPr>
                <w:rFonts w:cs="Calibri"/>
                <w:i/>
              </w:rPr>
              <w:t xml:space="preserve">Course of Action 1: </w:t>
            </w:r>
            <w:r w:rsidR="00251929">
              <w:rPr>
                <w:rFonts w:cs="Calibri"/>
                <w:i/>
              </w:rPr>
              <w:t>We have designed a recovery course</w:t>
            </w:r>
            <w:r w:rsidR="005236C0">
              <w:rPr>
                <w:rFonts w:cs="Calibri"/>
                <w:i/>
              </w:rPr>
              <w:t xml:space="preserve"> (ACC647)</w:t>
            </w:r>
            <w:r w:rsidR="00251929">
              <w:rPr>
                <w:rFonts w:cs="Calibri"/>
                <w:i/>
              </w:rPr>
              <w:t xml:space="preserve"> that provides an opportunity for students to spend extra time to develop mastery of the material necessary to be successful in the capstone project. The integration of core concepts and advanced business and accounting concepts is challenging and we believe that this course will be helpful. Students who do not receive a passing grade on the capstone will be required to take this course and receive a satisfactory grade in order to graduate.</w:t>
            </w:r>
            <w:r w:rsidR="00FE3861">
              <w:rPr>
                <w:rFonts w:cs="Calibri"/>
                <w:i/>
              </w:rPr>
              <w:t xml:space="preserve"> This applies to ISLOs: 1, 9</w:t>
            </w:r>
          </w:p>
        </w:tc>
      </w:tr>
      <w:tr w:rsidR="005236C0" w:rsidRPr="001C62E2"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13536" w:type="dxa"/>
            <w:gridSpan w:val="11"/>
            <w:tcMar>
              <w:top w:w="72" w:type="dxa"/>
              <w:left w:w="115" w:type="dxa"/>
              <w:bottom w:w="72" w:type="dxa"/>
              <w:right w:w="115" w:type="dxa"/>
            </w:tcMar>
          </w:tcPr>
          <w:p w:rsidR="005236C0" w:rsidRDefault="00FE3861" w:rsidP="00251929">
            <w:pPr>
              <w:numPr>
                <w:ilvl w:val="0"/>
                <w:numId w:val="20"/>
              </w:numPr>
              <w:ind w:left="144" w:hanging="144"/>
              <w:rPr>
                <w:rFonts w:cs="Calibri"/>
                <w:i/>
              </w:rPr>
            </w:pPr>
            <w:r>
              <w:rPr>
                <w:rFonts w:cs="Calibri"/>
                <w:i/>
              </w:rPr>
              <w:t xml:space="preserve">Course of Action 2: </w:t>
            </w:r>
            <w:r w:rsidR="005236C0">
              <w:rPr>
                <w:rFonts w:cs="Calibri"/>
                <w:i/>
              </w:rPr>
              <w:t>The College has designated a large technology classroom which allows us to better infuse technology into accounting, finance, marketing and other courses. Syllabi have been revised to incorporate more use of technology.</w:t>
            </w:r>
            <w:r w:rsidR="00E97118">
              <w:rPr>
                <w:rFonts w:cs="Calibri"/>
                <w:i/>
              </w:rPr>
              <w:t xml:space="preserve"> This applies to ISLO: 2</w:t>
            </w:r>
          </w:p>
        </w:tc>
      </w:tr>
      <w:tr w:rsidR="00B80C97" w:rsidRPr="001C62E2"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13536" w:type="dxa"/>
            <w:gridSpan w:val="11"/>
            <w:tcMar>
              <w:top w:w="72" w:type="dxa"/>
              <w:left w:w="115" w:type="dxa"/>
              <w:bottom w:w="72" w:type="dxa"/>
              <w:right w:w="115" w:type="dxa"/>
            </w:tcMar>
          </w:tcPr>
          <w:p w:rsidR="00B80C97" w:rsidRPr="001C62E2" w:rsidRDefault="00FE3861" w:rsidP="00B80C97">
            <w:pPr>
              <w:numPr>
                <w:ilvl w:val="0"/>
                <w:numId w:val="20"/>
              </w:numPr>
              <w:ind w:left="144" w:hanging="144"/>
              <w:rPr>
                <w:rFonts w:cs="Calibri"/>
                <w:i/>
              </w:rPr>
            </w:pPr>
            <w:r>
              <w:rPr>
                <w:rFonts w:cs="Calibri"/>
                <w:i/>
              </w:rPr>
              <w:t>Course of Action 3</w:t>
            </w:r>
            <w:r w:rsidR="00B80C97">
              <w:rPr>
                <w:rFonts w:cs="Calibri"/>
                <w:i/>
              </w:rPr>
              <w:t>: Ethical concepts will be further reinforced throughout the curriculum and integrated into a broader range of courses.</w:t>
            </w:r>
            <w:r w:rsidR="00E97118">
              <w:rPr>
                <w:rFonts w:cs="Calibri"/>
                <w:i/>
              </w:rPr>
              <w:t xml:space="preserve"> This applies to ISLO:</w:t>
            </w:r>
            <w:r>
              <w:rPr>
                <w:rFonts w:cs="Calibri"/>
                <w:i/>
              </w:rPr>
              <w:t xml:space="preserve"> 5</w:t>
            </w:r>
          </w:p>
        </w:tc>
      </w:tr>
      <w:tr w:rsidR="00251929" w:rsidRPr="001C62E2" w:rsidTr="0023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13536" w:type="dxa"/>
            <w:gridSpan w:val="11"/>
            <w:tcMar>
              <w:top w:w="72" w:type="dxa"/>
              <w:left w:w="115" w:type="dxa"/>
              <w:bottom w:w="72" w:type="dxa"/>
              <w:right w:w="115" w:type="dxa"/>
            </w:tcMar>
          </w:tcPr>
          <w:p w:rsidR="00251929" w:rsidRDefault="00FE3861" w:rsidP="00FE3861">
            <w:pPr>
              <w:numPr>
                <w:ilvl w:val="0"/>
                <w:numId w:val="20"/>
              </w:numPr>
              <w:ind w:left="144" w:hanging="144"/>
              <w:rPr>
                <w:rFonts w:cs="Calibri"/>
                <w:i/>
              </w:rPr>
            </w:pPr>
            <w:r>
              <w:rPr>
                <w:rFonts w:cs="Calibri"/>
                <w:i/>
              </w:rPr>
              <w:t xml:space="preserve">Course of Action 4: Additional focus will be added regarding international accounting standards and we will review syllabi for international business courses that are required of this program to see where the courses can be strengthened.  </w:t>
            </w:r>
            <w:r w:rsidR="00C627F1">
              <w:rPr>
                <w:rFonts w:cs="Calibri"/>
                <w:i/>
              </w:rPr>
              <w:t>This applies to ISLO: 11</w:t>
            </w:r>
          </w:p>
        </w:tc>
      </w:tr>
    </w:tbl>
    <w:p w:rsidR="008C50C0" w:rsidRPr="001C62E2" w:rsidRDefault="008C50C0" w:rsidP="000E2A58">
      <w:pPr>
        <w:rPr>
          <w:rFonts w:cs="Calibri"/>
        </w:rPr>
      </w:pPr>
    </w:p>
    <w:sectPr w:rsidR="008C50C0" w:rsidRPr="001C62E2" w:rsidSect="00DA714F">
      <w:footerReference w:type="default" r:id="rId11"/>
      <w:pgSz w:w="15840" w:h="12240" w:orient="landscape" w:code="1"/>
      <w:pgMar w:top="1152" w:right="1152" w:bottom="1296" w:left="1152"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288" w:rsidRDefault="00701288" w:rsidP="00381AA9">
      <w:r>
        <w:separator/>
      </w:r>
    </w:p>
  </w:endnote>
  <w:endnote w:type="continuationSeparator" w:id="0">
    <w:p w:rsidR="00701288" w:rsidRDefault="00701288" w:rsidP="0038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9" w:rsidRPr="00DA28CF" w:rsidRDefault="002354F9" w:rsidP="007809D8">
    <w:pPr>
      <w:pStyle w:val="Footer"/>
      <w:framePr w:h="226" w:hRule="exact" w:wrap="around" w:vAnchor="text" w:hAnchor="margin" w:xAlign="center" w:y="6"/>
      <w:rPr>
        <w:rStyle w:val="PageNumber"/>
        <w:sz w:val="20"/>
        <w:szCs w:val="20"/>
      </w:rPr>
    </w:pPr>
    <w:r w:rsidRPr="00DA28CF">
      <w:rPr>
        <w:rStyle w:val="PageNumber"/>
        <w:sz w:val="20"/>
        <w:szCs w:val="20"/>
      </w:rPr>
      <w:fldChar w:fldCharType="begin"/>
    </w:r>
    <w:r w:rsidRPr="00DA28CF">
      <w:rPr>
        <w:rStyle w:val="PageNumber"/>
        <w:sz w:val="20"/>
        <w:szCs w:val="20"/>
      </w:rPr>
      <w:instrText xml:space="preserve">PAGE  </w:instrText>
    </w:r>
    <w:r w:rsidRPr="00DA28CF">
      <w:rPr>
        <w:rStyle w:val="PageNumber"/>
        <w:sz w:val="20"/>
        <w:szCs w:val="20"/>
      </w:rPr>
      <w:fldChar w:fldCharType="separate"/>
    </w:r>
    <w:r>
      <w:rPr>
        <w:rStyle w:val="PageNumber"/>
        <w:noProof/>
        <w:sz w:val="20"/>
        <w:szCs w:val="20"/>
      </w:rPr>
      <w:t>i</w:t>
    </w:r>
    <w:r w:rsidRPr="00DA28CF">
      <w:rPr>
        <w:rStyle w:val="PageNumber"/>
        <w:sz w:val="20"/>
        <w:szCs w:val="20"/>
      </w:rPr>
      <w:fldChar w:fldCharType="end"/>
    </w:r>
  </w:p>
  <w:p w:rsidR="002354F9" w:rsidRDefault="002354F9" w:rsidP="007809D8">
    <w:pPr>
      <w:pStyle w:val="Footer"/>
      <w:tabs>
        <w:tab w:val="clear" w:pos="4320"/>
        <w:tab w:val="clear" w:pos="8640"/>
      </w:tabs>
      <w:rPr>
        <w:rFonts w:ascii="Times New Roman" w:hAnsi="Times New Roman" w:cs="Times New Roman"/>
        <w:i/>
        <w:iCs/>
        <w:sz w:val="20"/>
        <w:szCs w:val="20"/>
      </w:rPr>
    </w:pPr>
    <w:r>
      <w:rPr>
        <w:rFonts w:ascii="Times New Roman" w:hAnsi="Times New Roman" w:cs="Times New Roman"/>
        <w:i/>
        <w:iCs/>
        <w:sz w:val="20"/>
        <w:szCs w:val="20"/>
      </w:rPr>
      <w:t>Accreditation Process Manual</w:t>
    </w:r>
    <w:r>
      <w:rPr>
        <w:rFonts w:ascii="Times New Roman" w:hAnsi="Times New Roman" w:cs="Times New Roman"/>
        <w:i/>
        <w:iCs/>
        <w:sz w:val="20"/>
        <w:szCs w:val="20"/>
      </w:rPr>
      <w:tab/>
    </w:r>
    <w:r>
      <w:rPr>
        <w:rFonts w:ascii="Times New Roman" w:hAnsi="Times New Roman" w:cs="Times New Roman"/>
        <w:i/>
        <w:iCs/>
        <w:sz w:val="20"/>
        <w:szCs w:val="20"/>
      </w:rPr>
      <w:tab/>
    </w:r>
    <w:r>
      <w:rPr>
        <w:rStyle w:val="PageNumber"/>
        <w:sz w:val="20"/>
        <w:szCs w:val="20"/>
      </w:rPr>
      <w:tab/>
      <w:t xml:space="preserve">                                         </w:t>
    </w:r>
    <w:r>
      <w:rPr>
        <w:rStyle w:val="PageNumber"/>
        <w:i/>
        <w:sz w:val="20"/>
        <w:szCs w:val="20"/>
      </w:rPr>
      <w:t>March</w:t>
    </w:r>
    <w:r w:rsidRPr="00B23C86">
      <w:rPr>
        <w:rStyle w:val="PageNumber"/>
        <w:i/>
        <w:sz w:val="20"/>
        <w:szCs w:val="20"/>
      </w:rPr>
      <w:t xml:space="preserve"> </w:t>
    </w:r>
    <w:r w:rsidRPr="005B2A23">
      <w:rPr>
        <w:rStyle w:val="PageNumber"/>
        <w:i/>
        <w:sz w:val="20"/>
        <w:szCs w:val="20"/>
      </w:rPr>
      <w:t>20</w:t>
    </w:r>
    <w:r>
      <w:rPr>
        <w:rStyle w:val="PageNumber"/>
        <w:i/>
        <w:sz w:val="20"/>
        <w:szCs w:val="20"/>
      </w:rPr>
      <w:t>10 (Amended March 2011)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4F9" w:rsidRPr="00F23FE3" w:rsidRDefault="002354F9" w:rsidP="007809D8">
    <w:pPr>
      <w:pStyle w:val="Footer"/>
      <w:tabs>
        <w:tab w:val="clear" w:pos="4320"/>
        <w:tab w:val="clear" w:pos="8640"/>
      </w:tabs>
      <w:rPr>
        <w:rFonts w:ascii="Times New Roman" w:hAnsi="Times New Roman" w:cs="Times New Roman"/>
        <w:iCs/>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536" w:type="dxa"/>
      <w:jc w:val="center"/>
      <w:tblBorders>
        <w:top w:val="single" w:sz="8" w:space="0" w:color="808080"/>
        <w:insideH w:val="single" w:sz="18" w:space="0" w:color="808080"/>
        <w:insideV w:val="single" w:sz="8" w:space="0" w:color="808080"/>
      </w:tblBorders>
      <w:tblLook w:val="04A0" w:firstRow="1" w:lastRow="0" w:firstColumn="1" w:lastColumn="0" w:noHBand="0" w:noVBand="1"/>
    </w:tblPr>
    <w:tblGrid>
      <w:gridCol w:w="13248"/>
      <w:gridCol w:w="288"/>
    </w:tblGrid>
    <w:tr w:rsidR="002354F9" w:rsidRPr="0078628A" w:rsidTr="00896576">
      <w:trPr>
        <w:jc w:val="center"/>
      </w:trPr>
      <w:tc>
        <w:tcPr>
          <w:tcW w:w="13248" w:type="dxa"/>
          <w:tcBorders>
            <w:top w:val="single" w:sz="8" w:space="0" w:color="808080"/>
            <w:bottom w:val="nil"/>
            <w:right w:val="nil"/>
          </w:tcBorders>
          <w:tcMar>
            <w:left w:w="0" w:type="dxa"/>
            <w:right w:w="115" w:type="dxa"/>
          </w:tcMar>
          <w:vAlign w:val="bottom"/>
        </w:tcPr>
        <w:p w:rsidR="002354F9" w:rsidRPr="0078628A" w:rsidRDefault="000E2A58" w:rsidP="00303AB5">
          <w:pPr>
            <w:pStyle w:val="Footer"/>
            <w:spacing w:before="40"/>
            <w:ind w:left="0"/>
            <w:rPr>
              <w:b/>
              <w:color w:val="002060"/>
              <w:sz w:val="18"/>
              <w:szCs w:val="18"/>
            </w:rPr>
          </w:pPr>
          <w:r w:rsidRPr="0078628A">
            <w:rPr>
              <w:rFonts w:cs="Times New Roman"/>
              <w:color w:val="002060"/>
              <w:sz w:val="18"/>
              <w:szCs w:val="18"/>
            </w:rPr>
            <w:t>IACBE Public Disclosure of Student Learning</w:t>
          </w:r>
        </w:p>
      </w:tc>
      <w:tc>
        <w:tcPr>
          <w:tcW w:w="288" w:type="dxa"/>
          <w:tcBorders>
            <w:left w:val="nil"/>
          </w:tcBorders>
          <w:tcMar>
            <w:left w:w="0" w:type="dxa"/>
            <w:right w:w="0" w:type="dxa"/>
          </w:tcMar>
          <w:vAlign w:val="bottom"/>
        </w:tcPr>
        <w:p w:rsidR="002354F9" w:rsidRPr="0078628A" w:rsidRDefault="002354F9" w:rsidP="00303AB5">
          <w:pPr>
            <w:pStyle w:val="Footer"/>
            <w:spacing w:before="40"/>
            <w:ind w:left="0"/>
            <w:jc w:val="right"/>
            <w:rPr>
              <w:rFonts w:cs="Times New Roman"/>
              <w:color w:val="002060"/>
              <w:sz w:val="18"/>
              <w:szCs w:val="18"/>
            </w:rPr>
          </w:pPr>
          <w:r w:rsidRPr="0078628A">
            <w:rPr>
              <w:color w:val="002060"/>
              <w:sz w:val="18"/>
              <w:szCs w:val="18"/>
            </w:rPr>
            <w:fldChar w:fldCharType="begin"/>
          </w:r>
          <w:r w:rsidRPr="0078628A">
            <w:rPr>
              <w:color w:val="002060"/>
              <w:sz w:val="18"/>
              <w:szCs w:val="18"/>
            </w:rPr>
            <w:instrText xml:space="preserve"> PAGE   \* MERGEFORMAT </w:instrText>
          </w:r>
          <w:r w:rsidRPr="0078628A">
            <w:rPr>
              <w:color w:val="002060"/>
              <w:sz w:val="18"/>
              <w:szCs w:val="18"/>
            </w:rPr>
            <w:fldChar w:fldCharType="separate"/>
          </w:r>
          <w:r w:rsidR="00213E7E">
            <w:rPr>
              <w:noProof/>
              <w:color w:val="002060"/>
              <w:sz w:val="18"/>
              <w:szCs w:val="18"/>
            </w:rPr>
            <w:t>2</w:t>
          </w:r>
          <w:r w:rsidRPr="0078628A">
            <w:rPr>
              <w:color w:val="002060"/>
              <w:sz w:val="18"/>
              <w:szCs w:val="18"/>
            </w:rPr>
            <w:fldChar w:fldCharType="end"/>
          </w:r>
        </w:p>
      </w:tc>
    </w:tr>
  </w:tbl>
  <w:p w:rsidR="002354F9" w:rsidRPr="000224B9" w:rsidRDefault="002354F9" w:rsidP="000224B9">
    <w:pPr>
      <w:pStyle w:val="Footer"/>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288" w:rsidRDefault="00701288" w:rsidP="00381AA9">
      <w:r>
        <w:separator/>
      </w:r>
    </w:p>
  </w:footnote>
  <w:footnote w:type="continuationSeparator" w:id="0">
    <w:p w:rsidR="00701288" w:rsidRDefault="00701288" w:rsidP="00381A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48D"/>
    <w:multiLevelType w:val="hybridMultilevel"/>
    <w:tmpl w:val="68F86E44"/>
    <w:lvl w:ilvl="0" w:tplc="0A5E3A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2BB"/>
    <w:multiLevelType w:val="hybridMultilevel"/>
    <w:tmpl w:val="7022508E"/>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7684"/>
    <w:multiLevelType w:val="hybridMultilevel"/>
    <w:tmpl w:val="FC501A54"/>
    <w:lvl w:ilvl="0" w:tplc="027A5BC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2C39"/>
    <w:multiLevelType w:val="hybridMultilevel"/>
    <w:tmpl w:val="73505936"/>
    <w:lvl w:ilvl="0" w:tplc="3022059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24250"/>
    <w:multiLevelType w:val="hybridMultilevel"/>
    <w:tmpl w:val="F886E48E"/>
    <w:lvl w:ilvl="0" w:tplc="CAA6E8E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207F76"/>
    <w:multiLevelType w:val="hybridMultilevel"/>
    <w:tmpl w:val="D9C4CC3A"/>
    <w:lvl w:ilvl="0" w:tplc="61BAB1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D0BE1"/>
    <w:multiLevelType w:val="hybridMultilevel"/>
    <w:tmpl w:val="320EB4F4"/>
    <w:lvl w:ilvl="0" w:tplc="D7FED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86688"/>
    <w:multiLevelType w:val="hybridMultilevel"/>
    <w:tmpl w:val="C0D8AFA0"/>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D0F44"/>
    <w:multiLevelType w:val="hybridMultilevel"/>
    <w:tmpl w:val="870A3528"/>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B4B55"/>
    <w:multiLevelType w:val="hybridMultilevel"/>
    <w:tmpl w:val="75A6EBC4"/>
    <w:lvl w:ilvl="0" w:tplc="AD460B2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F1D07"/>
    <w:multiLevelType w:val="hybridMultilevel"/>
    <w:tmpl w:val="3142279C"/>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A5BAB"/>
    <w:multiLevelType w:val="hybridMultilevel"/>
    <w:tmpl w:val="AAE80A92"/>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43571"/>
    <w:multiLevelType w:val="hybridMultilevel"/>
    <w:tmpl w:val="6CC095E2"/>
    <w:lvl w:ilvl="0" w:tplc="D7FED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F3610"/>
    <w:multiLevelType w:val="hybridMultilevel"/>
    <w:tmpl w:val="43AEF9A0"/>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D0E4A"/>
    <w:multiLevelType w:val="hybridMultilevel"/>
    <w:tmpl w:val="CF86CB7A"/>
    <w:lvl w:ilvl="0" w:tplc="D01436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847BF"/>
    <w:multiLevelType w:val="hybridMultilevel"/>
    <w:tmpl w:val="4E4AF822"/>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93A18"/>
    <w:multiLevelType w:val="hybridMultilevel"/>
    <w:tmpl w:val="17CE8C2C"/>
    <w:lvl w:ilvl="0" w:tplc="E7E609D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426DB"/>
    <w:multiLevelType w:val="hybridMultilevel"/>
    <w:tmpl w:val="A7FAB6C6"/>
    <w:lvl w:ilvl="0" w:tplc="EB48A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834AF"/>
    <w:multiLevelType w:val="hybridMultilevel"/>
    <w:tmpl w:val="1D1C2EA8"/>
    <w:lvl w:ilvl="0" w:tplc="3022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819E8"/>
    <w:multiLevelType w:val="hybridMultilevel"/>
    <w:tmpl w:val="992838D0"/>
    <w:lvl w:ilvl="0" w:tplc="D7FED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428DC"/>
    <w:multiLevelType w:val="hybridMultilevel"/>
    <w:tmpl w:val="8578DF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0"/>
  </w:num>
  <w:num w:numId="5">
    <w:abstractNumId w:val="2"/>
  </w:num>
  <w:num w:numId="6">
    <w:abstractNumId w:val="17"/>
  </w:num>
  <w:num w:numId="7">
    <w:abstractNumId w:val="6"/>
  </w:num>
  <w:num w:numId="8">
    <w:abstractNumId w:val="12"/>
  </w:num>
  <w:num w:numId="9">
    <w:abstractNumId w:val="19"/>
  </w:num>
  <w:num w:numId="10">
    <w:abstractNumId w:val="16"/>
  </w:num>
  <w:num w:numId="11">
    <w:abstractNumId w:val="3"/>
  </w:num>
  <w:num w:numId="12">
    <w:abstractNumId w:val="7"/>
  </w:num>
  <w:num w:numId="13">
    <w:abstractNumId w:val="13"/>
  </w:num>
  <w:num w:numId="14">
    <w:abstractNumId w:val="8"/>
  </w:num>
  <w:num w:numId="15">
    <w:abstractNumId w:val="10"/>
  </w:num>
  <w:num w:numId="16">
    <w:abstractNumId w:val="18"/>
  </w:num>
  <w:num w:numId="17">
    <w:abstractNumId w:val="15"/>
  </w:num>
  <w:num w:numId="18">
    <w:abstractNumId w:val="1"/>
  </w:num>
  <w:num w:numId="19">
    <w:abstractNumId w:val="11"/>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14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1D"/>
    <w:rsid w:val="00001241"/>
    <w:rsid w:val="00022167"/>
    <w:rsid w:val="000224B9"/>
    <w:rsid w:val="00024CDF"/>
    <w:rsid w:val="0005206A"/>
    <w:rsid w:val="0005393A"/>
    <w:rsid w:val="00056FE7"/>
    <w:rsid w:val="00070609"/>
    <w:rsid w:val="00074487"/>
    <w:rsid w:val="0008652F"/>
    <w:rsid w:val="00094053"/>
    <w:rsid w:val="00094753"/>
    <w:rsid w:val="00094E81"/>
    <w:rsid w:val="000B14C6"/>
    <w:rsid w:val="000B680A"/>
    <w:rsid w:val="000B7E68"/>
    <w:rsid w:val="000C2F2C"/>
    <w:rsid w:val="000C3F69"/>
    <w:rsid w:val="000D1CF6"/>
    <w:rsid w:val="000D5F2D"/>
    <w:rsid w:val="000D61E4"/>
    <w:rsid w:val="000D7A46"/>
    <w:rsid w:val="000E2A58"/>
    <w:rsid w:val="000E7085"/>
    <w:rsid w:val="00102735"/>
    <w:rsid w:val="0011586E"/>
    <w:rsid w:val="00120F72"/>
    <w:rsid w:val="00123252"/>
    <w:rsid w:val="00125A2F"/>
    <w:rsid w:val="00165AA4"/>
    <w:rsid w:val="00171844"/>
    <w:rsid w:val="0017416B"/>
    <w:rsid w:val="00180377"/>
    <w:rsid w:val="00182860"/>
    <w:rsid w:val="00193352"/>
    <w:rsid w:val="00194B35"/>
    <w:rsid w:val="001976FC"/>
    <w:rsid w:val="001A4F5A"/>
    <w:rsid w:val="001C62E2"/>
    <w:rsid w:val="001C68CE"/>
    <w:rsid w:val="001D7D66"/>
    <w:rsid w:val="001F0B4C"/>
    <w:rsid w:val="00203B5A"/>
    <w:rsid w:val="00211A0E"/>
    <w:rsid w:val="00213E7E"/>
    <w:rsid w:val="00222510"/>
    <w:rsid w:val="00222758"/>
    <w:rsid w:val="00230310"/>
    <w:rsid w:val="0023346B"/>
    <w:rsid w:val="002354F9"/>
    <w:rsid w:val="0023614D"/>
    <w:rsid w:val="00251929"/>
    <w:rsid w:val="00264626"/>
    <w:rsid w:val="002655CD"/>
    <w:rsid w:val="00265FCB"/>
    <w:rsid w:val="002722F4"/>
    <w:rsid w:val="0028184C"/>
    <w:rsid w:val="002857E9"/>
    <w:rsid w:val="0029300F"/>
    <w:rsid w:val="002C12D2"/>
    <w:rsid w:val="002E4579"/>
    <w:rsid w:val="002F7D55"/>
    <w:rsid w:val="00303AB5"/>
    <w:rsid w:val="0030557F"/>
    <w:rsid w:val="00311E08"/>
    <w:rsid w:val="00315B0D"/>
    <w:rsid w:val="003212E9"/>
    <w:rsid w:val="003226A6"/>
    <w:rsid w:val="00337E64"/>
    <w:rsid w:val="003537EC"/>
    <w:rsid w:val="00354F84"/>
    <w:rsid w:val="00355784"/>
    <w:rsid w:val="00360F07"/>
    <w:rsid w:val="003757D1"/>
    <w:rsid w:val="00377364"/>
    <w:rsid w:val="00377427"/>
    <w:rsid w:val="00377D72"/>
    <w:rsid w:val="00381AA9"/>
    <w:rsid w:val="0039104C"/>
    <w:rsid w:val="00393CB2"/>
    <w:rsid w:val="003B11D5"/>
    <w:rsid w:val="003B1AF5"/>
    <w:rsid w:val="003C224F"/>
    <w:rsid w:val="003C78DD"/>
    <w:rsid w:val="003D3775"/>
    <w:rsid w:val="003D419B"/>
    <w:rsid w:val="003E3824"/>
    <w:rsid w:val="003E5446"/>
    <w:rsid w:val="003E6DA7"/>
    <w:rsid w:val="003F1382"/>
    <w:rsid w:val="00405DEE"/>
    <w:rsid w:val="004102D8"/>
    <w:rsid w:val="004144B7"/>
    <w:rsid w:val="00430FC2"/>
    <w:rsid w:val="00435794"/>
    <w:rsid w:val="0046554F"/>
    <w:rsid w:val="00470330"/>
    <w:rsid w:val="0047128B"/>
    <w:rsid w:val="004736DC"/>
    <w:rsid w:val="00474ADB"/>
    <w:rsid w:val="0048580C"/>
    <w:rsid w:val="004954AB"/>
    <w:rsid w:val="004977EA"/>
    <w:rsid w:val="004A0C83"/>
    <w:rsid w:val="004B1E48"/>
    <w:rsid w:val="004B22C9"/>
    <w:rsid w:val="004B674B"/>
    <w:rsid w:val="004D1E32"/>
    <w:rsid w:val="004E0CD1"/>
    <w:rsid w:val="004E2F3C"/>
    <w:rsid w:val="004E3EF7"/>
    <w:rsid w:val="004E7F04"/>
    <w:rsid w:val="005236C0"/>
    <w:rsid w:val="00525525"/>
    <w:rsid w:val="00533E31"/>
    <w:rsid w:val="00550F78"/>
    <w:rsid w:val="005632BC"/>
    <w:rsid w:val="00563E66"/>
    <w:rsid w:val="0056553E"/>
    <w:rsid w:val="00570608"/>
    <w:rsid w:val="00580D6C"/>
    <w:rsid w:val="00583FE7"/>
    <w:rsid w:val="00586490"/>
    <w:rsid w:val="005906B5"/>
    <w:rsid w:val="00592892"/>
    <w:rsid w:val="005A56E3"/>
    <w:rsid w:val="005B3CF0"/>
    <w:rsid w:val="005B51FB"/>
    <w:rsid w:val="005C1F3A"/>
    <w:rsid w:val="005C5075"/>
    <w:rsid w:val="005E5BB2"/>
    <w:rsid w:val="005E7F64"/>
    <w:rsid w:val="005F5A30"/>
    <w:rsid w:val="005F6DC7"/>
    <w:rsid w:val="00614A4F"/>
    <w:rsid w:val="00616758"/>
    <w:rsid w:val="0062145F"/>
    <w:rsid w:val="006262D5"/>
    <w:rsid w:val="0063050B"/>
    <w:rsid w:val="00630565"/>
    <w:rsid w:val="006449F9"/>
    <w:rsid w:val="00656740"/>
    <w:rsid w:val="00663BA2"/>
    <w:rsid w:val="00676952"/>
    <w:rsid w:val="00691358"/>
    <w:rsid w:val="00694D0E"/>
    <w:rsid w:val="006A1AD7"/>
    <w:rsid w:val="006A20D8"/>
    <w:rsid w:val="006A3C30"/>
    <w:rsid w:val="006B06E4"/>
    <w:rsid w:val="006C5932"/>
    <w:rsid w:val="006C65B5"/>
    <w:rsid w:val="006D16BE"/>
    <w:rsid w:val="006D70FF"/>
    <w:rsid w:val="006E1609"/>
    <w:rsid w:val="006E37C5"/>
    <w:rsid w:val="006E5DD3"/>
    <w:rsid w:val="006E6DF5"/>
    <w:rsid w:val="00701288"/>
    <w:rsid w:val="00722494"/>
    <w:rsid w:val="007323E6"/>
    <w:rsid w:val="007365DD"/>
    <w:rsid w:val="00737540"/>
    <w:rsid w:val="007407B0"/>
    <w:rsid w:val="0074602B"/>
    <w:rsid w:val="007533DA"/>
    <w:rsid w:val="007547E7"/>
    <w:rsid w:val="0075571A"/>
    <w:rsid w:val="007561AA"/>
    <w:rsid w:val="007629CD"/>
    <w:rsid w:val="007809D8"/>
    <w:rsid w:val="00780C47"/>
    <w:rsid w:val="0078136B"/>
    <w:rsid w:val="0078628A"/>
    <w:rsid w:val="007877D5"/>
    <w:rsid w:val="00790760"/>
    <w:rsid w:val="00790DF1"/>
    <w:rsid w:val="00793926"/>
    <w:rsid w:val="007E2A80"/>
    <w:rsid w:val="007E3CF9"/>
    <w:rsid w:val="007F07CD"/>
    <w:rsid w:val="008117AB"/>
    <w:rsid w:val="00852858"/>
    <w:rsid w:val="00853ADF"/>
    <w:rsid w:val="00870E07"/>
    <w:rsid w:val="008723C7"/>
    <w:rsid w:val="00880BC9"/>
    <w:rsid w:val="00884256"/>
    <w:rsid w:val="00896576"/>
    <w:rsid w:val="008B08DA"/>
    <w:rsid w:val="008C50C0"/>
    <w:rsid w:val="008D2597"/>
    <w:rsid w:val="008D6F13"/>
    <w:rsid w:val="008F2336"/>
    <w:rsid w:val="00900E6D"/>
    <w:rsid w:val="00921D1A"/>
    <w:rsid w:val="009622CA"/>
    <w:rsid w:val="00962FDD"/>
    <w:rsid w:val="00964FA2"/>
    <w:rsid w:val="009704E9"/>
    <w:rsid w:val="00971FF0"/>
    <w:rsid w:val="0097221A"/>
    <w:rsid w:val="00973EDE"/>
    <w:rsid w:val="0098798C"/>
    <w:rsid w:val="00991E4A"/>
    <w:rsid w:val="00993F49"/>
    <w:rsid w:val="009A27EC"/>
    <w:rsid w:val="009A4033"/>
    <w:rsid w:val="009C5AA1"/>
    <w:rsid w:val="009C6298"/>
    <w:rsid w:val="009D1135"/>
    <w:rsid w:val="009D2352"/>
    <w:rsid w:val="009D24AE"/>
    <w:rsid w:val="009D3AEA"/>
    <w:rsid w:val="009F56A2"/>
    <w:rsid w:val="009F6521"/>
    <w:rsid w:val="00A000AD"/>
    <w:rsid w:val="00A1089C"/>
    <w:rsid w:val="00A1668E"/>
    <w:rsid w:val="00A227EB"/>
    <w:rsid w:val="00A22A67"/>
    <w:rsid w:val="00A23E9A"/>
    <w:rsid w:val="00A43141"/>
    <w:rsid w:val="00A4395E"/>
    <w:rsid w:val="00A56B78"/>
    <w:rsid w:val="00A6480A"/>
    <w:rsid w:val="00A73038"/>
    <w:rsid w:val="00A84C11"/>
    <w:rsid w:val="00A9195B"/>
    <w:rsid w:val="00A94EE2"/>
    <w:rsid w:val="00AA0C15"/>
    <w:rsid w:val="00AA5091"/>
    <w:rsid w:val="00AC202C"/>
    <w:rsid w:val="00AC3CF1"/>
    <w:rsid w:val="00AC5D10"/>
    <w:rsid w:val="00AC6DFC"/>
    <w:rsid w:val="00AD0051"/>
    <w:rsid w:val="00AD0075"/>
    <w:rsid w:val="00AD65EC"/>
    <w:rsid w:val="00AF584E"/>
    <w:rsid w:val="00AF604A"/>
    <w:rsid w:val="00B00FBA"/>
    <w:rsid w:val="00B02251"/>
    <w:rsid w:val="00B15011"/>
    <w:rsid w:val="00B25850"/>
    <w:rsid w:val="00B33FC8"/>
    <w:rsid w:val="00B41C41"/>
    <w:rsid w:val="00B4493F"/>
    <w:rsid w:val="00B508A6"/>
    <w:rsid w:val="00B56F6C"/>
    <w:rsid w:val="00B74DFF"/>
    <w:rsid w:val="00B80C97"/>
    <w:rsid w:val="00B95BC5"/>
    <w:rsid w:val="00BA07E0"/>
    <w:rsid w:val="00BA43EA"/>
    <w:rsid w:val="00BA4D47"/>
    <w:rsid w:val="00BE2841"/>
    <w:rsid w:val="00BE35FC"/>
    <w:rsid w:val="00BE5906"/>
    <w:rsid w:val="00BF24E9"/>
    <w:rsid w:val="00C06AD1"/>
    <w:rsid w:val="00C11554"/>
    <w:rsid w:val="00C1572C"/>
    <w:rsid w:val="00C44A66"/>
    <w:rsid w:val="00C51FA5"/>
    <w:rsid w:val="00C545B7"/>
    <w:rsid w:val="00C551F1"/>
    <w:rsid w:val="00C60C52"/>
    <w:rsid w:val="00C627F1"/>
    <w:rsid w:val="00C632A0"/>
    <w:rsid w:val="00C66B3F"/>
    <w:rsid w:val="00C70BD1"/>
    <w:rsid w:val="00C75594"/>
    <w:rsid w:val="00CB380D"/>
    <w:rsid w:val="00CC4050"/>
    <w:rsid w:val="00CC69A7"/>
    <w:rsid w:val="00CC6EA4"/>
    <w:rsid w:val="00CD3C07"/>
    <w:rsid w:val="00CE4643"/>
    <w:rsid w:val="00CF07E9"/>
    <w:rsid w:val="00CF1111"/>
    <w:rsid w:val="00CF23C4"/>
    <w:rsid w:val="00CF6923"/>
    <w:rsid w:val="00D12943"/>
    <w:rsid w:val="00D171EF"/>
    <w:rsid w:val="00D22741"/>
    <w:rsid w:val="00D37B6C"/>
    <w:rsid w:val="00D41CA0"/>
    <w:rsid w:val="00D53897"/>
    <w:rsid w:val="00D54385"/>
    <w:rsid w:val="00D547F9"/>
    <w:rsid w:val="00D666D7"/>
    <w:rsid w:val="00D702FA"/>
    <w:rsid w:val="00D81438"/>
    <w:rsid w:val="00D826B6"/>
    <w:rsid w:val="00DA714F"/>
    <w:rsid w:val="00DB17EF"/>
    <w:rsid w:val="00DC7EB4"/>
    <w:rsid w:val="00DD00BD"/>
    <w:rsid w:val="00E034F5"/>
    <w:rsid w:val="00E0530A"/>
    <w:rsid w:val="00E0702A"/>
    <w:rsid w:val="00E10ED9"/>
    <w:rsid w:val="00E12DBA"/>
    <w:rsid w:val="00E14780"/>
    <w:rsid w:val="00E14FAD"/>
    <w:rsid w:val="00E15F63"/>
    <w:rsid w:val="00E249CD"/>
    <w:rsid w:val="00E30075"/>
    <w:rsid w:val="00E63454"/>
    <w:rsid w:val="00E66142"/>
    <w:rsid w:val="00E73C10"/>
    <w:rsid w:val="00E86C41"/>
    <w:rsid w:val="00E97118"/>
    <w:rsid w:val="00EA01C0"/>
    <w:rsid w:val="00EA794C"/>
    <w:rsid w:val="00EB4DED"/>
    <w:rsid w:val="00EB63ED"/>
    <w:rsid w:val="00EC38B5"/>
    <w:rsid w:val="00EC50E2"/>
    <w:rsid w:val="00EE60C4"/>
    <w:rsid w:val="00EF17AC"/>
    <w:rsid w:val="00EF6337"/>
    <w:rsid w:val="00EF7832"/>
    <w:rsid w:val="00F04CEE"/>
    <w:rsid w:val="00F13591"/>
    <w:rsid w:val="00F15E1D"/>
    <w:rsid w:val="00F16DBE"/>
    <w:rsid w:val="00F23B3E"/>
    <w:rsid w:val="00F31380"/>
    <w:rsid w:val="00F4322A"/>
    <w:rsid w:val="00F4387B"/>
    <w:rsid w:val="00F44FDB"/>
    <w:rsid w:val="00F5775F"/>
    <w:rsid w:val="00F663B8"/>
    <w:rsid w:val="00F66D2E"/>
    <w:rsid w:val="00F81645"/>
    <w:rsid w:val="00F86972"/>
    <w:rsid w:val="00F90170"/>
    <w:rsid w:val="00FA20D2"/>
    <w:rsid w:val="00FB51B1"/>
    <w:rsid w:val="00FB54D6"/>
    <w:rsid w:val="00FB5D11"/>
    <w:rsid w:val="00FC10F1"/>
    <w:rsid w:val="00FC57A2"/>
    <w:rsid w:val="00FE08BD"/>
    <w:rsid w:val="00FE1570"/>
    <w:rsid w:val="00FE3861"/>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7D4E"/>
  <w15:docId w15:val="{90E5CE6A-F40D-45B6-82CC-F8A29F4D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54"/>
    <w:rPr>
      <w:sz w:val="22"/>
      <w:szCs w:val="22"/>
    </w:rPr>
  </w:style>
  <w:style w:type="paragraph" w:styleId="Heading1">
    <w:name w:val="heading 1"/>
    <w:basedOn w:val="Normal"/>
    <w:next w:val="Normal"/>
    <w:link w:val="Heading1Char"/>
    <w:uiPriority w:val="9"/>
    <w:qFormat/>
    <w:rsid w:val="004977E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9"/>
    <w:qFormat/>
    <w:rsid w:val="00F15E1D"/>
    <w:pPr>
      <w:keepNext/>
      <w:spacing w:before="240" w:after="60"/>
      <w:ind w:left="216"/>
      <w:jc w:val="center"/>
      <w:outlineLvl w:val="2"/>
    </w:pPr>
    <w:rPr>
      <w:rFonts w:ascii="Arial" w:eastAsia="Times New Roman" w:hAnsi="Arial" w:cs="Arial"/>
      <w:b/>
      <w:bCs/>
      <w:i/>
      <w:iCs/>
      <w:sz w:val="28"/>
      <w:szCs w:val="28"/>
    </w:rPr>
  </w:style>
  <w:style w:type="paragraph" w:styleId="Heading5">
    <w:name w:val="heading 5"/>
    <w:basedOn w:val="Normal"/>
    <w:next w:val="Normal"/>
    <w:link w:val="Heading5Char"/>
    <w:uiPriority w:val="99"/>
    <w:qFormat/>
    <w:rsid w:val="00F15E1D"/>
    <w:pPr>
      <w:keepNext/>
      <w:ind w:left="216"/>
      <w:jc w:val="both"/>
      <w:outlineLvl w:val="4"/>
    </w:pPr>
    <w:rPr>
      <w:rFonts w:ascii="Arial" w:eastAsia="Times New Roman" w:hAnsi="Arial" w:cs="Arial"/>
      <w:b/>
      <w:bCs/>
      <w:sz w:val="28"/>
      <w:szCs w:val="28"/>
      <w:u w:val="single"/>
    </w:rPr>
  </w:style>
  <w:style w:type="paragraph" w:styleId="Heading6">
    <w:name w:val="heading 6"/>
    <w:basedOn w:val="Normal"/>
    <w:next w:val="Normal"/>
    <w:link w:val="Heading6Char"/>
    <w:uiPriority w:val="99"/>
    <w:qFormat/>
    <w:rsid w:val="00F15E1D"/>
    <w:pPr>
      <w:keepNext/>
      <w:ind w:left="216"/>
      <w:outlineLvl w:val="5"/>
    </w:pPr>
    <w:rPr>
      <w:rFonts w:ascii="Arial" w:eastAsia="Times New Roman" w:hAnsi="Arial" w:cs="Arial"/>
      <w:b/>
      <w:bCs/>
      <w:color w:val="000000"/>
      <w:sz w:val="18"/>
      <w:szCs w:val="18"/>
    </w:rPr>
  </w:style>
  <w:style w:type="paragraph" w:styleId="Heading9">
    <w:name w:val="heading 9"/>
    <w:basedOn w:val="Normal"/>
    <w:next w:val="Normal"/>
    <w:link w:val="Heading9Char"/>
    <w:uiPriority w:val="99"/>
    <w:qFormat/>
    <w:rsid w:val="00F15E1D"/>
    <w:pPr>
      <w:keepNext/>
      <w:ind w:left="216"/>
      <w:jc w:val="center"/>
      <w:outlineLvl w:val="8"/>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F15E1D"/>
    <w:rPr>
      <w:rFonts w:ascii="Arial" w:eastAsia="Times New Roman" w:hAnsi="Arial" w:cs="Arial"/>
      <w:b/>
      <w:bCs/>
      <w:i/>
      <w:iCs/>
      <w:sz w:val="28"/>
      <w:szCs w:val="28"/>
    </w:rPr>
  </w:style>
  <w:style w:type="character" w:customStyle="1" w:styleId="Heading5Char">
    <w:name w:val="Heading 5 Char"/>
    <w:link w:val="Heading5"/>
    <w:uiPriority w:val="99"/>
    <w:rsid w:val="00F15E1D"/>
    <w:rPr>
      <w:rFonts w:ascii="Arial" w:eastAsia="Times New Roman" w:hAnsi="Arial" w:cs="Arial"/>
      <w:b/>
      <w:bCs/>
      <w:sz w:val="28"/>
      <w:szCs w:val="28"/>
      <w:u w:val="single"/>
    </w:rPr>
  </w:style>
  <w:style w:type="character" w:customStyle="1" w:styleId="Heading6Char">
    <w:name w:val="Heading 6 Char"/>
    <w:link w:val="Heading6"/>
    <w:uiPriority w:val="99"/>
    <w:rsid w:val="00F15E1D"/>
    <w:rPr>
      <w:rFonts w:ascii="Arial" w:eastAsia="Times New Roman" w:hAnsi="Arial" w:cs="Arial"/>
      <w:b/>
      <w:bCs/>
      <w:color w:val="000000"/>
      <w:sz w:val="18"/>
      <w:szCs w:val="18"/>
    </w:rPr>
  </w:style>
  <w:style w:type="character" w:customStyle="1" w:styleId="Heading9Char">
    <w:name w:val="Heading 9 Char"/>
    <w:link w:val="Heading9"/>
    <w:uiPriority w:val="99"/>
    <w:rsid w:val="00F15E1D"/>
    <w:rPr>
      <w:rFonts w:ascii="Arial" w:eastAsia="Times New Roman" w:hAnsi="Arial" w:cs="Arial"/>
      <w:b/>
      <w:bCs/>
    </w:rPr>
  </w:style>
  <w:style w:type="paragraph" w:styleId="BodyText">
    <w:name w:val="Body Text"/>
    <w:basedOn w:val="Normal"/>
    <w:link w:val="BodyTextChar"/>
    <w:uiPriority w:val="99"/>
    <w:rsid w:val="00F15E1D"/>
    <w:pPr>
      <w:ind w:left="216"/>
    </w:pPr>
    <w:rPr>
      <w:rFonts w:ascii="Arial" w:eastAsia="Times New Roman" w:hAnsi="Arial" w:cs="Arial"/>
    </w:rPr>
  </w:style>
  <w:style w:type="character" w:customStyle="1" w:styleId="BodyTextChar">
    <w:name w:val="Body Text Char"/>
    <w:link w:val="BodyText"/>
    <w:uiPriority w:val="99"/>
    <w:rsid w:val="00F15E1D"/>
    <w:rPr>
      <w:rFonts w:ascii="Arial" w:eastAsia="Times New Roman" w:hAnsi="Arial" w:cs="Arial"/>
    </w:rPr>
  </w:style>
  <w:style w:type="paragraph" w:styleId="Header">
    <w:name w:val="header"/>
    <w:basedOn w:val="Normal"/>
    <w:link w:val="HeaderChar"/>
    <w:uiPriority w:val="99"/>
    <w:rsid w:val="00F15E1D"/>
    <w:pPr>
      <w:tabs>
        <w:tab w:val="center" w:pos="4320"/>
        <w:tab w:val="right" w:pos="8640"/>
      </w:tabs>
      <w:ind w:left="216"/>
    </w:pPr>
    <w:rPr>
      <w:rFonts w:ascii="Arial" w:eastAsia="Times New Roman" w:hAnsi="Arial" w:cs="Arial"/>
    </w:rPr>
  </w:style>
  <w:style w:type="character" w:customStyle="1" w:styleId="HeaderChar">
    <w:name w:val="Header Char"/>
    <w:link w:val="Header"/>
    <w:uiPriority w:val="99"/>
    <w:rsid w:val="00F15E1D"/>
    <w:rPr>
      <w:rFonts w:ascii="Arial" w:eastAsia="Times New Roman" w:hAnsi="Arial" w:cs="Arial"/>
    </w:rPr>
  </w:style>
  <w:style w:type="paragraph" w:styleId="Footer">
    <w:name w:val="footer"/>
    <w:basedOn w:val="Normal"/>
    <w:link w:val="FooterChar"/>
    <w:uiPriority w:val="99"/>
    <w:rsid w:val="00F15E1D"/>
    <w:pPr>
      <w:tabs>
        <w:tab w:val="center" w:pos="4320"/>
        <w:tab w:val="right" w:pos="8640"/>
      </w:tabs>
      <w:ind w:left="216"/>
    </w:pPr>
    <w:rPr>
      <w:rFonts w:ascii="Arial" w:eastAsia="Times New Roman" w:hAnsi="Arial" w:cs="Arial"/>
    </w:rPr>
  </w:style>
  <w:style w:type="character" w:customStyle="1" w:styleId="FooterChar">
    <w:name w:val="Footer Char"/>
    <w:link w:val="Footer"/>
    <w:uiPriority w:val="99"/>
    <w:rsid w:val="00F15E1D"/>
    <w:rPr>
      <w:rFonts w:ascii="Arial" w:eastAsia="Times New Roman" w:hAnsi="Arial" w:cs="Arial"/>
    </w:rPr>
  </w:style>
  <w:style w:type="character" w:styleId="PageNumber">
    <w:name w:val="page number"/>
    <w:basedOn w:val="DefaultParagraphFont"/>
    <w:uiPriority w:val="99"/>
    <w:rsid w:val="00F15E1D"/>
  </w:style>
  <w:style w:type="paragraph" w:styleId="Title">
    <w:name w:val="Title"/>
    <w:basedOn w:val="Normal"/>
    <w:link w:val="TitleChar"/>
    <w:uiPriority w:val="99"/>
    <w:qFormat/>
    <w:rsid w:val="00F15E1D"/>
    <w:pPr>
      <w:ind w:left="216"/>
      <w:jc w:val="center"/>
    </w:pPr>
    <w:rPr>
      <w:rFonts w:ascii="Arial" w:eastAsia="Times New Roman" w:hAnsi="Arial" w:cs="Arial"/>
      <w:b/>
      <w:bCs/>
      <w:sz w:val="28"/>
      <w:szCs w:val="28"/>
    </w:rPr>
  </w:style>
  <w:style w:type="character" w:customStyle="1" w:styleId="TitleChar">
    <w:name w:val="Title Char"/>
    <w:link w:val="Title"/>
    <w:uiPriority w:val="99"/>
    <w:rsid w:val="00F15E1D"/>
    <w:rPr>
      <w:rFonts w:ascii="Arial" w:eastAsia="Times New Roman" w:hAnsi="Arial" w:cs="Arial"/>
      <w:b/>
      <w:bCs/>
      <w:sz w:val="28"/>
      <w:szCs w:val="28"/>
    </w:rPr>
  </w:style>
  <w:style w:type="paragraph" w:styleId="FootnoteText">
    <w:name w:val="footnote text"/>
    <w:basedOn w:val="Normal"/>
    <w:link w:val="FootnoteTextChar"/>
    <w:uiPriority w:val="99"/>
    <w:semiHidden/>
    <w:rsid w:val="00F15E1D"/>
    <w:pPr>
      <w:ind w:left="216"/>
    </w:pPr>
    <w:rPr>
      <w:rFonts w:ascii="Arial" w:eastAsia="Times New Roman" w:hAnsi="Arial" w:cs="Arial"/>
      <w:sz w:val="20"/>
      <w:szCs w:val="20"/>
    </w:rPr>
  </w:style>
  <w:style w:type="character" w:customStyle="1" w:styleId="FootnoteTextChar">
    <w:name w:val="Footnote Text Char"/>
    <w:link w:val="FootnoteText"/>
    <w:uiPriority w:val="99"/>
    <w:semiHidden/>
    <w:rsid w:val="00F15E1D"/>
    <w:rPr>
      <w:rFonts w:ascii="Arial" w:eastAsia="Times New Roman" w:hAnsi="Arial" w:cs="Arial"/>
      <w:sz w:val="20"/>
      <w:szCs w:val="20"/>
    </w:rPr>
  </w:style>
  <w:style w:type="paragraph" w:styleId="Caption">
    <w:name w:val="caption"/>
    <w:basedOn w:val="Normal"/>
    <w:next w:val="Normal"/>
    <w:uiPriority w:val="99"/>
    <w:qFormat/>
    <w:rsid w:val="00F15E1D"/>
    <w:pPr>
      <w:spacing w:before="120" w:after="120"/>
      <w:ind w:left="216"/>
    </w:pPr>
    <w:rPr>
      <w:rFonts w:ascii="Arial" w:eastAsia="Times New Roman" w:hAnsi="Arial" w:cs="Arial"/>
      <w:b/>
      <w:bCs/>
      <w:sz w:val="20"/>
      <w:szCs w:val="20"/>
    </w:rPr>
  </w:style>
  <w:style w:type="paragraph" w:styleId="NoSpacing">
    <w:name w:val="No Spacing"/>
    <w:link w:val="NoSpacingChar"/>
    <w:uiPriority w:val="1"/>
    <w:qFormat/>
    <w:rsid w:val="003D419B"/>
    <w:rPr>
      <w:sz w:val="22"/>
      <w:szCs w:val="22"/>
    </w:rPr>
  </w:style>
  <w:style w:type="table" w:styleId="TableGrid">
    <w:name w:val="Table Grid"/>
    <w:basedOn w:val="TableNormal"/>
    <w:uiPriority w:val="59"/>
    <w:rsid w:val="006B0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7D55"/>
    <w:rPr>
      <w:rFonts w:ascii="Tahoma" w:hAnsi="Tahoma" w:cs="Tahoma"/>
      <w:sz w:val="16"/>
      <w:szCs w:val="16"/>
    </w:rPr>
  </w:style>
  <w:style w:type="character" w:customStyle="1" w:styleId="BalloonTextChar">
    <w:name w:val="Balloon Text Char"/>
    <w:link w:val="BalloonText"/>
    <w:uiPriority w:val="99"/>
    <w:semiHidden/>
    <w:rsid w:val="002F7D55"/>
    <w:rPr>
      <w:rFonts w:ascii="Tahoma" w:hAnsi="Tahoma" w:cs="Tahoma"/>
      <w:sz w:val="16"/>
      <w:szCs w:val="16"/>
    </w:rPr>
  </w:style>
  <w:style w:type="character" w:styleId="PlaceholderText">
    <w:name w:val="Placeholder Text"/>
    <w:uiPriority w:val="99"/>
    <w:semiHidden/>
    <w:rsid w:val="002F7D55"/>
    <w:rPr>
      <w:color w:val="808080"/>
    </w:rPr>
  </w:style>
  <w:style w:type="character" w:customStyle="1" w:styleId="Heading1Char">
    <w:name w:val="Heading 1 Char"/>
    <w:link w:val="Heading1"/>
    <w:uiPriority w:val="9"/>
    <w:rsid w:val="004977EA"/>
    <w:rPr>
      <w:rFonts w:ascii="Cambria" w:eastAsia="Times New Roman" w:hAnsi="Cambria"/>
      <w:b/>
      <w:bCs/>
      <w:kern w:val="32"/>
      <w:sz w:val="32"/>
      <w:szCs w:val="32"/>
    </w:rPr>
  </w:style>
  <w:style w:type="character" w:customStyle="1" w:styleId="NoSpacingChar">
    <w:name w:val="No Spacing Char"/>
    <w:link w:val="NoSpacing"/>
    <w:uiPriority w:val="1"/>
    <w:rsid w:val="004977EA"/>
    <w:rPr>
      <w:sz w:val="22"/>
      <w:szCs w:val="22"/>
    </w:rPr>
  </w:style>
  <w:style w:type="paragraph" w:styleId="ListParagraph">
    <w:name w:val="List Paragraph"/>
    <w:basedOn w:val="Normal"/>
    <w:uiPriority w:val="34"/>
    <w:qFormat/>
    <w:rsid w:val="00FC57A2"/>
    <w:pPr>
      <w:ind w:left="720"/>
      <w:contextualSpacing/>
    </w:pPr>
  </w:style>
  <w:style w:type="character" w:styleId="Hyperlink">
    <w:name w:val="Hyperlink"/>
    <w:uiPriority w:val="99"/>
    <w:unhideWhenUsed/>
    <w:rsid w:val="00A22A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7F14-099E-4EBC-9464-1CCC4089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Jamestown College</Company>
  <LinksUpToDate>false</LinksUpToDate>
  <CharactersWithSpaces>11141</CharactersWithSpaces>
  <SharedDoc>false</SharedDoc>
  <HLinks>
    <vt:vector size="6" baseType="variant">
      <vt:variant>
        <vt:i4>4325441</vt:i4>
      </vt:variant>
      <vt:variant>
        <vt:i4>0</vt:i4>
      </vt:variant>
      <vt:variant>
        <vt:i4>0</vt:i4>
      </vt:variant>
      <vt:variant>
        <vt:i4>5</vt:i4>
      </vt:variant>
      <vt:variant>
        <vt:lpwstr>http://www.iacbe.org/accreditation-documents.asp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Gash</dc:creator>
  <cp:lastModifiedBy>Daemen College</cp:lastModifiedBy>
  <cp:revision>23</cp:revision>
  <cp:lastPrinted>2014-05-15T16:08:00Z</cp:lastPrinted>
  <dcterms:created xsi:type="dcterms:W3CDTF">2017-02-03T18:01:00Z</dcterms:created>
  <dcterms:modified xsi:type="dcterms:W3CDTF">2017-02-03T19:20:00Z</dcterms:modified>
</cp:coreProperties>
</file>