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AE" w:rsidRPr="0005236E" w:rsidRDefault="00A877AE" w:rsidP="00A877A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36E">
        <w:rPr>
          <w:rFonts w:asciiTheme="minorHAnsi" w:hAnsiTheme="minorHAnsi" w:cstheme="minorHAnsi"/>
          <w:b/>
          <w:sz w:val="24"/>
          <w:szCs w:val="24"/>
          <w:u w:val="single"/>
        </w:rPr>
        <w:t>Public Disclosure of Student Achievement</w:t>
      </w:r>
    </w:p>
    <w:p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493765202"/>
      <w:r w:rsidRPr="00A877AE">
        <w:rPr>
          <w:rFonts w:asciiTheme="minorHAnsi" w:hAnsiTheme="minorHAnsi" w:cstheme="minorHAnsi"/>
          <w:b/>
          <w:sz w:val="24"/>
          <w:szCs w:val="24"/>
        </w:rPr>
        <w:t>Institution Name:</w:t>
      </w:r>
      <w:r w:rsidR="00CF13DE">
        <w:rPr>
          <w:rFonts w:asciiTheme="minorHAnsi" w:hAnsiTheme="minorHAnsi" w:cstheme="minorHAnsi"/>
          <w:b/>
          <w:sz w:val="24"/>
          <w:szCs w:val="24"/>
        </w:rPr>
        <w:t xml:space="preserve"> Daemen College</w:t>
      </w:r>
    </w:p>
    <w:p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A877AE">
        <w:rPr>
          <w:rFonts w:asciiTheme="minorHAnsi" w:hAnsiTheme="minorHAnsi" w:cstheme="minorHAnsi"/>
          <w:b/>
          <w:sz w:val="24"/>
          <w:szCs w:val="24"/>
        </w:rPr>
        <w:t xml:space="preserve">Business </w:t>
      </w:r>
      <w:r>
        <w:rPr>
          <w:rFonts w:asciiTheme="minorHAnsi" w:hAnsiTheme="minorHAnsi" w:cstheme="minorHAnsi"/>
          <w:b/>
          <w:sz w:val="24"/>
          <w:szCs w:val="24"/>
        </w:rPr>
        <w:t>Unit(s) included in this report:</w:t>
      </w:r>
      <w:r w:rsidR="00CF13DE">
        <w:rPr>
          <w:rFonts w:asciiTheme="minorHAnsi" w:hAnsiTheme="minorHAnsi" w:cstheme="minorHAnsi"/>
          <w:b/>
          <w:sz w:val="24"/>
          <w:szCs w:val="24"/>
        </w:rPr>
        <w:t xml:space="preserve"> Accounting and Business Administration</w:t>
      </w:r>
    </w:p>
    <w:p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Academic Period Covered:</w:t>
      </w:r>
      <w:r w:rsidR="00CF13DE">
        <w:rPr>
          <w:rFonts w:asciiTheme="minorHAnsi" w:hAnsiTheme="minorHAnsi" w:cstheme="minorHAnsi"/>
          <w:b/>
          <w:sz w:val="24"/>
          <w:szCs w:val="24"/>
        </w:rPr>
        <w:t xml:space="preserve"> 2016-2017</w:t>
      </w:r>
    </w:p>
    <w:p w:rsidR="00C45BEF" w:rsidRDefault="00C45BEF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:rsidR="0005236E" w:rsidRDefault="00C45BEF" w:rsidP="00ED6B8C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 w:rsidRPr="007167BC">
        <w:rPr>
          <w:rFonts w:asciiTheme="minorHAnsi" w:hAnsiTheme="minorHAnsi" w:cstheme="minorHAnsi"/>
          <w:b/>
          <w:sz w:val="24"/>
          <w:szCs w:val="24"/>
        </w:rPr>
        <w:t>Date Submitted: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F13DE">
        <w:rPr>
          <w:rFonts w:asciiTheme="minorHAnsi" w:hAnsiTheme="minorHAnsi" w:cstheme="minorHAnsi"/>
          <w:sz w:val="24"/>
          <w:szCs w:val="24"/>
        </w:rPr>
        <w:t>11/13/17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</w:p>
    <w:p w:rsidR="00E70239" w:rsidRPr="0005236E" w:rsidRDefault="00E70239" w:rsidP="00ED6B8C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iCs/>
          <w:sz w:val="24"/>
          <w:szCs w:val="24"/>
        </w:rPr>
      </w:pPr>
      <w:bookmarkStart w:id="1" w:name="_GoBack"/>
      <w:bookmarkEnd w:id="1"/>
    </w:p>
    <w:tbl>
      <w:tblPr>
        <w:tblW w:w="92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85"/>
        <w:gridCol w:w="3600"/>
        <w:gridCol w:w="2070"/>
      </w:tblGrid>
      <w:tr w:rsidR="0005236E" w:rsidRPr="0005236E" w:rsidTr="00C45BEF">
        <w:trPr>
          <w:trHeight w:val="576"/>
          <w:jc w:val="center"/>
        </w:trPr>
        <w:tc>
          <w:tcPr>
            <w:tcW w:w="35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INDICATOR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36E" w:rsidRPr="0005236E" w:rsidRDefault="0005236E" w:rsidP="0005236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RESULT</w:t>
            </w:r>
          </w:p>
        </w:tc>
      </w:tr>
      <w:tr w:rsidR="002A6C55" w:rsidRPr="0005236E" w:rsidTr="00A30CE9">
        <w:trPr>
          <w:trHeight w:val="346"/>
          <w:jc w:val="center"/>
        </w:trPr>
        <w:tc>
          <w:tcPr>
            <w:tcW w:w="35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A6C55" w:rsidRDefault="002A6C55" w:rsidP="002A6C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ACCT.BS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6C55" w:rsidRPr="0005236E" w:rsidRDefault="002A6C55" w:rsidP="002A6C55">
            <w:pPr>
              <w:spacing w:before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Student 1 Year Retention Rate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A6C55" w:rsidRDefault="002A6C55" w:rsidP="002A6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83%</w:t>
            </w:r>
          </w:p>
        </w:tc>
      </w:tr>
      <w:tr w:rsidR="002A6C55" w:rsidRPr="0005236E" w:rsidTr="00ED6B8C">
        <w:trPr>
          <w:trHeight w:val="376"/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6C55" w:rsidRDefault="002A6C55" w:rsidP="002A6C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ACCT.BSMS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A6C55" w:rsidRDefault="002A6C55" w:rsidP="002A6C55">
            <w:r w:rsidRPr="00AF7871">
              <w:rPr>
                <w:rFonts w:asciiTheme="minorHAnsi" w:hAnsiTheme="minorHAnsi" w:cstheme="minorHAnsi"/>
                <w:sz w:val="24"/>
                <w:szCs w:val="24"/>
              </w:rPr>
              <w:t>Student 1 Year Retention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A6C55" w:rsidRDefault="002A6C55" w:rsidP="002A6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50%</w:t>
            </w:r>
          </w:p>
        </w:tc>
      </w:tr>
      <w:tr w:rsidR="004D1586" w:rsidRPr="0005236E" w:rsidTr="004D1586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</w:tcPr>
          <w:p w:rsidR="004D1586" w:rsidRDefault="004D1586" w:rsidP="004D15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</w:tcPr>
          <w:p w:rsidR="004D1586" w:rsidRPr="00AF7871" w:rsidRDefault="004D1586" w:rsidP="004D15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</w:tcPr>
          <w:p w:rsidR="004D1586" w:rsidRPr="0005236E" w:rsidRDefault="004D1586" w:rsidP="002A6C55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6C55" w:rsidRPr="0005236E" w:rsidTr="0001623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6C55" w:rsidRDefault="002A6C55" w:rsidP="00AA4E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BUSN</w:t>
            </w:r>
            <w:r w:rsidR="00AA4EBA">
              <w:rPr>
                <w:color w:val="000000"/>
                <w:sz w:val="16"/>
                <w:szCs w:val="16"/>
              </w:rPr>
              <w:t>.ADMIN.</w:t>
            </w:r>
            <w:r>
              <w:rPr>
                <w:color w:val="000000"/>
                <w:sz w:val="16"/>
                <w:szCs w:val="16"/>
              </w:rPr>
              <w:t>G</w:t>
            </w:r>
            <w:r w:rsidR="00AA4EBA">
              <w:rPr>
                <w:color w:val="000000"/>
                <w:sz w:val="16"/>
                <w:szCs w:val="16"/>
              </w:rPr>
              <w:t xml:space="preserve">ENERAL </w:t>
            </w:r>
            <w:r>
              <w:rPr>
                <w:color w:val="000000"/>
                <w:sz w:val="16"/>
                <w:szCs w:val="16"/>
              </w:rPr>
              <w:t>BS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A6C55" w:rsidRDefault="002A6C55" w:rsidP="002A6C55">
            <w:r w:rsidRPr="00AF7871">
              <w:rPr>
                <w:rFonts w:asciiTheme="minorHAnsi" w:hAnsiTheme="minorHAnsi" w:cstheme="minorHAnsi"/>
                <w:sz w:val="24"/>
                <w:szCs w:val="24"/>
              </w:rPr>
              <w:t>Student 1 Year Retention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A6C55" w:rsidRDefault="002A6C55" w:rsidP="002A6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67%</w:t>
            </w:r>
          </w:p>
        </w:tc>
      </w:tr>
      <w:tr w:rsidR="002A6C55" w:rsidRPr="0005236E" w:rsidTr="0001623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6C55" w:rsidRDefault="002A6C55" w:rsidP="009349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BUSN.</w:t>
            </w:r>
            <w:r w:rsidR="0093495D">
              <w:rPr>
                <w:color w:val="000000"/>
                <w:sz w:val="16"/>
                <w:szCs w:val="16"/>
              </w:rPr>
              <w:t>ADMIN. HUMAN RESOURCE MGT</w:t>
            </w:r>
            <w:r>
              <w:rPr>
                <w:color w:val="000000"/>
                <w:sz w:val="16"/>
                <w:szCs w:val="16"/>
              </w:rPr>
              <w:t>.BS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A6C55" w:rsidRDefault="002A6C55" w:rsidP="002A6C55">
            <w:r w:rsidRPr="00AF7871">
              <w:rPr>
                <w:rFonts w:asciiTheme="minorHAnsi" w:hAnsiTheme="minorHAnsi" w:cstheme="minorHAnsi"/>
                <w:sz w:val="24"/>
                <w:szCs w:val="24"/>
              </w:rPr>
              <w:t>Student 1 Year Retention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A6C55" w:rsidRDefault="002A6C55" w:rsidP="002A6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2A6C55" w:rsidRPr="0005236E" w:rsidTr="0001623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6C55" w:rsidRDefault="002A6C55" w:rsidP="009349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BUSN.</w:t>
            </w:r>
            <w:r w:rsidR="0093495D">
              <w:rPr>
                <w:color w:val="000000"/>
                <w:sz w:val="16"/>
                <w:szCs w:val="16"/>
              </w:rPr>
              <w:t>ADMIN</w:t>
            </w:r>
            <w:r>
              <w:rPr>
                <w:color w:val="000000"/>
                <w:sz w:val="16"/>
                <w:szCs w:val="16"/>
              </w:rPr>
              <w:t>.</w:t>
            </w:r>
            <w:r w:rsidR="0093495D">
              <w:rPr>
                <w:color w:val="000000"/>
                <w:sz w:val="16"/>
                <w:szCs w:val="16"/>
              </w:rPr>
              <w:t xml:space="preserve"> INTERN. BUS. </w:t>
            </w:r>
            <w:r>
              <w:rPr>
                <w:color w:val="000000"/>
                <w:sz w:val="16"/>
                <w:szCs w:val="16"/>
              </w:rPr>
              <w:t>BS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A6C55" w:rsidRDefault="002A6C55" w:rsidP="002A6C55">
            <w:r w:rsidRPr="00AF7871">
              <w:rPr>
                <w:rFonts w:asciiTheme="minorHAnsi" w:hAnsiTheme="minorHAnsi" w:cstheme="minorHAnsi"/>
                <w:sz w:val="24"/>
                <w:szCs w:val="24"/>
              </w:rPr>
              <w:t>Student 1 Year Retention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A6C55" w:rsidRDefault="002A6C55" w:rsidP="002A6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2A6C55" w:rsidRPr="0005236E" w:rsidTr="0001623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6C55" w:rsidRDefault="002A6C55" w:rsidP="009349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BUSN.</w:t>
            </w:r>
            <w:r w:rsidR="0093495D">
              <w:rPr>
                <w:color w:val="000000"/>
                <w:sz w:val="16"/>
                <w:szCs w:val="16"/>
              </w:rPr>
              <w:t>ADMIN.</w:t>
            </w:r>
            <w:r>
              <w:rPr>
                <w:color w:val="000000"/>
                <w:sz w:val="16"/>
                <w:szCs w:val="16"/>
              </w:rPr>
              <w:t>M</w:t>
            </w:r>
            <w:r w:rsidR="0093495D">
              <w:rPr>
                <w:color w:val="000000"/>
                <w:sz w:val="16"/>
                <w:szCs w:val="16"/>
              </w:rPr>
              <w:t>ARKETING</w:t>
            </w:r>
            <w:r>
              <w:rPr>
                <w:color w:val="000000"/>
                <w:sz w:val="16"/>
                <w:szCs w:val="16"/>
              </w:rPr>
              <w:t>.</w:t>
            </w:r>
            <w:r w:rsidR="0093495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BS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A6C55" w:rsidRDefault="002A6C55" w:rsidP="002A6C55">
            <w:r w:rsidRPr="00AF7871">
              <w:rPr>
                <w:rFonts w:asciiTheme="minorHAnsi" w:hAnsiTheme="minorHAnsi" w:cstheme="minorHAnsi"/>
                <w:sz w:val="24"/>
                <w:szCs w:val="24"/>
              </w:rPr>
              <w:t>Student 1 Year Retention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A6C55" w:rsidRDefault="002A6C55" w:rsidP="002A6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57%</w:t>
            </w:r>
          </w:p>
        </w:tc>
      </w:tr>
      <w:tr w:rsidR="00ED6B8C" w:rsidRPr="0005236E" w:rsidTr="0001623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6B8C" w:rsidRDefault="00ED6B8C" w:rsidP="00ED6B8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BUSN. ADMIN.SPORT MGT. BS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B8C" w:rsidRDefault="00ED6B8C" w:rsidP="00ED6B8C">
            <w:r w:rsidRPr="00AF7871">
              <w:rPr>
                <w:rFonts w:asciiTheme="minorHAnsi" w:hAnsiTheme="minorHAnsi" w:cstheme="minorHAnsi"/>
                <w:sz w:val="24"/>
                <w:szCs w:val="24"/>
              </w:rPr>
              <w:t>Student 1 Year Retention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B8C" w:rsidRDefault="00ED6B8C" w:rsidP="00ED6B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ED6B8C" w:rsidRPr="0005236E" w:rsidTr="0001623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6B8C" w:rsidRDefault="00ED6B8C" w:rsidP="00ED6B8C">
            <w:pPr>
              <w:rPr>
                <w:color w:val="000000"/>
                <w:sz w:val="16"/>
                <w:szCs w:val="16"/>
              </w:rPr>
            </w:pPr>
            <w:r w:rsidRPr="00ED6B8C">
              <w:rPr>
                <w:b/>
                <w:color w:val="000000"/>
                <w:sz w:val="16"/>
                <w:szCs w:val="16"/>
                <w:u w:val="single"/>
              </w:rPr>
              <w:t>COMBINED</w:t>
            </w:r>
            <w:r>
              <w:rPr>
                <w:color w:val="000000"/>
                <w:sz w:val="16"/>
                <w:szCs w:val="16"/>
              </w:rPr>
              <w:t xml:space="preserve"> BUSN.ADMIN. BS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B8C" w:rsidRPr="00AF7871" w:rsidRDefault="00ED6B8C" w:rsidP="00ED6B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7871">
              <w:rPr>
                <w:rFonts w:asciiTheme="minorHAnsi" w:hAnsiTheme="minorHAnsi" w:cstheme="minorHAnsi"/>
                <w:sz w:val="24"/>
                <w:szCs w:val="24"/>
              </w:rPr>
              <w:t>Student 1 Year Retention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B8C" w:rsidRPr="002A6C55" w:rsidRDefault="00ED6B8C" w:rsidP="00ED6B8C">
            <w:pPr>
              <w:jc w:val="center"/>
            </w:pPr>
            <w:r>
              <w:rPr>
                <w:color w:val="000000"/>
                <w:sz w:val="16"/>
                <w:szCs w:val="16"/>
              </w:rPr>
              <w:t>88%</w:t>
            </w:r>
          </w:p>
        </w:tc>
      </w:tr>
      <w:tr w:rsidR="00ED6B8C" w:rsidRPr="0005236E" w:rsidTr="0001623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6B8C" w:rsidRDefault="00ED6B8C" w:rsidP="00ED6B8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INTERNATIONAL BUSINESS MS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B8C" w:rsidRDefault="00ED6B8C" w:rsidP="00ED6B8C">
            <w:r w:rsidRPr="00AF7871">
              <w:rPr>
                <w:rFonts w:asciiTheme="minorHAnsi" w:hAnsiTheme="minorHAnsi" w:cstheme="minorHAnsi"/>
                <w:sz w:val="24"/>
                <w:szCs w:val="24"/>
              </w:rPr>
              <w:t>Student 1 Year Retention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B8C" w:rsidRDefault="00ED6B8C" w:rsidP="00ED6B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</w:tbl>
    <w:p w:rsidR="00ED6B8C" w:rsidRDefault="00ED6B8C" w:rsidP="00ED6B8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5236E" w:rsidRDefault="0005236E" w:rsidP="00ED6B8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36E">
        <w:rPr>
          <w:rFonts w:asciiTheme="minorHAnsi" w:hAnsiTheme="minorHAnsi" w:cstheme="minorHAnsi"/>
          <w:b/>
          <w:sz w:val="24"/>
          <w:szCs w:val="24"/>
          <w:u w:val="single"/>
        </w:rPr>
        <w:t>Indicators Used</w:t>
      </w:r>
    </w:p>
    <w:p w:rsidR="00ED6B8C" w:rsidRDefault="00ED6B8C" w:rsidP="00ED6B8C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75"/>
        <w:gridCol w:w="6570"/>
      </w:tblGrid>
      <w:tr w:rsidR="0005236E" w:rsidRPr="0005236E" w:rsidTr="00C45BEF">
        <w:trPr>
          <w:trHeight w:val="57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INDICATOR</w:t>
            </w:r>
          </w:p>
        </w:tc>
        <w:tc>
          <w:tcPr>
            <w:tcW w:w="6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DESCRIPTION AND HOW IT WAS CALCULATED</w:t>
            </w:r>
          </w:p>
        </w:tc>
      </w:tr>
      <w:tr w:rsidR="0005236E" w:rsidRPr="0005236E" w:rsidTr="00CA7DAC">
        <w:trPr>
          <w:trHeight w:val="34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AA4EBA" w:rsidP="00AA4EBA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2016-2017 Retention Rate</w:t>
            </w:r>
          </w:p>
        </w:tc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236E" w:rsidRPr="0005236E" w:rsidRDefault="0093495D" w:rsidP="00A159CD">
            <w:pPr>
              <w:spacing w:before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numbers of specific students originally enrolled in each</w:t>
            </w:r>
            <w:r w:rsidR="00A159CD">
              <w:rPr>
                <w:rFonts w:asciiTheme="minorHAnsi" w:hAnsiTheme="minorHAnsi" w:cstheme="minorHAnsi"/>
                <w:sz w:val="24"/>
                <w:szCs w:val="24"/>
              </w:rPr>
              <w:t xml:space="preserve"> of the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academic program categor</w:t>
            </w:r>
            <w:r w:rsidR="00A159CD">
              <w:rPr>
                <w:rFonts w:asciiTheme="minorHAnsi" w:hAnsiTheme="minorHAnsi" w:cstheme="minorHAnsi"/>
                <w:sz w:val="24"/>
                <w:szCs w:val="24"/>
              </w:rPr>
              <w:t xml:space="preserve">ies at the beginning 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Fall 2016 w</w:t>
            </w:r>
            <w:r w:rsidR="00A159CD">
              <w:rPr>
                <w:rFonts w:asciiTheme="minorHAnsi" w:hAnsiTheme="minorHAnsi" w:cstheme="minorHAnsi"/>
                <w:sz w:val="24"/>
                <w:szCs w:val="24"/>
              </w:rPr>
              <w:t xml:space="preserve">ere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compared to the </w:t>
            </w:r>
            <w:r w:rsidR="00A159CD">
              <w:rPr>
                <w:rFonts w:asciiTheme="minorHAnsi" w:hAnsiTheme="minorHAnsi" w:cstheme="minorHAnsi"/>
                <w:sz w:val="24"/>
                <w:szCs w:val="24"/>
              </w:rPr>
              <w:t xml:space="preserve">number 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same students still enrolled at the beginning </w:t>
            </w:r>
            <w:r w:rsidR="00A159CD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the Fall 2017</w:t>
            </w:r>
            <w:r w:rsidR="00A159C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The retention percentage was calculated by dividing the 2017</w:t>
            </w:r>
            <w:r w:rsidR="00A159CD">
              <w:rPr>
                <w:rFonts w:asciiTheme="minorHAnsi" w:hAnsiTheme="minorHAnsi" w:cstheme="minorHAnsi"/>
                <w:sz w:val="24"/>
                <w:szCs w:val="24"/>
              </w:rPr>
              <w:t xml:space="preserve"> semester enrollment numbers by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the 2016 </w:t>
            </w:r>
            <w:r w:rsidR="00A159CD">
              <w:rPr>
                <w:rFonts w:asciiTheme="minorHAnsi" w:hAnsiTheme="minorHAnsi" w:cstheme="minorHAnsi"/>
                <w:sz w:val="24"/>
                <w:szCs w:val="24"/>
              </w:rPr>
              <w:t xml:space="preserve">numbers. </w:t>
            </w:r>
          </w:p>
        </w:tc>
      </w:tr>
      <w:tr w:rsidR="0005236E" w:rsidRPr="0005236E" w:rsidTr="00CA7DAC">
        <w:trPr>
          <w:jc w:val="center"/>
        </w:trPr>
        <w:tc>
          <w:tcPr>
            <w:tcW w:w="27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A159CD" w:rsidP="00E90E46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Explan</w:t>
            </w:r>
            <w:r w:rsidR="00E90E4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tion: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236E" w:rsidRPr="0005236E" w:rsidRDefault="00A159CD" w:rsidP="00ED6B8C">
            <w:pPr>
              <w:spacing w:before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E90E46">
              <w:rPr>
                <w:rFonts w:asciiTheme="minorHAnsi" w:hAnsiTheme="minorHAnsi" w:cstheme="minorHAnsi"/>
                <w:sz w:val="24"/>
                <w:szCs w:val="24"/>
              </w:rPr>
              <w:t xml:space="preserve">COMBINED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BUSN</w:t>
            </w:r>
            <w:r w:rsidR="00E90E4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ADMIN</w:t>
            </w:r>
            <w:r w:rsidR="00E90E4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ED6B8C">
              <w:rPr>
                <w:rFonts w:asciiTheme="minorHAnsi" w:hAnsiTheme="minorHAnsi" w:cstheme="minorHAnsi"/>
                <w:sz w:val="24"/>
                <w:szCs w:val="24"/>
              </w:rPr>
              <w:t>retention</w:t>
            </w:r>
            <w:proofErr w:type="gramEnd"/>
            <w:r w:rsidR="00ED6B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statistic is probably the most relevant one </w:t>
            </w:r>
            <w:r w:rsidR="00E90E46">
              <w:rPr>
                <w:rFonts w:asciiTheme="minorHAnsi" w:hAnsiTheme="minorHAnsi" w:cstheme="minorHAnsi"/>
                <w:sz w:val="24"/>
                <w:szCs w:val="24"/>
              </w:rPr>
              <w:t>for this degree because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many students start as freshmen not really knowing what area of business they are most interested. Often, by the end of the first year, they may </w:t>
            </w:r>
            <w:r w:rsidR="00E90E46">
              <w:rPr>
                <w:rFonts w:asciiTheme="minorHAnsi" w:hAnsiTheme="minorHAnsi" w:cstheme="minorHAnsi"/>
                <w:sz w:val="24"/>
                <w:szCs w:val="24"/>
              </w:rPr>
              <w:t>transfer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90E46">
              <w:rPr>
                <w:rFonts w:asciiTheme="minorHAnsi" w:hAnsiTheme="minorHAnsi" w:cstheme="minorHAnsi"/>
                <w:sz w:val="24"/>
                <w:szCs w:val="24"/>
              </w:rPr>
              <w:t>internally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90E46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 different business specialization.</w:t>
            </w:r>
          </w:p>
        </w:tc>
      </w:tr>
    </w:tbl>
    <w:p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sectPr w:rsidR="000523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0C" w:rsidRDefault="00A2400C" w:rsidP="00C45BEF">
      <w:r>
        <w:separator/>
      </w:r>
    </w:p>
  </w:endnote>
  <w:endnote w:type="continuationSeparator" w:id="0">
    <w:p w:rsidR="00A2400C" w:rsidRDefault="00A2400C" w:rsidP="00C4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EF" w:rsidRDefault="00C45B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EF" w:rsidRDefault="00C45BEF" w:rsidP="00C45BEF">
    <w:pPr>
      <w:pStyle w:val="Footer"/>
      <w:jc w:val="right"/>
    </w:pPr>
    <w:r>
      <w:t>Revised: September 21,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EF" w:rsidRDefault="00C45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0C" w:rsidRDefault="00A2400C" w:rsidP="00C45BEF">
      <w:r>
        <w:separator/>
      </w:r>
    </w:p>
  </w:footnote>
  <w:footnote w:type="continuationSeparator" w:id="0">
    <w:p w:rsidR="00A2400C" w:rsidRDefault="00A2400C" w:rsidP="00C4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EF" w:rsidRDefault="00C45B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EF" w:rsidRDefault="00C45B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EF" w:rsidRDefault="00C45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6E"/>
    <w:rsid w:val="0005236E"/>
    <w:rsid w:val="002A6C55"/>
    <w:rsid w:val="002B2AC3"/>
    <w:rsid w:val="004D1586"/>
    <w:rsid w:val="006E6E2E"/>
    <w:rsid w:val="007E206A"/>
    <w:rsid w:val="009104CB"/>
    <w:rsid w:val="0093495D"/>
    <w:rsid w:val="00941920"/>
    <w:rsid w:val="00953766"/>
    <w:rsid w:val="00A159CD"/>
    <w:rsid w:val="00A2400C"/>
    <w:rsid w:val="00A877AE"/>
    <w:rsid w:val="00AA4EBA"/>
    <w:rsid w:val="00C45BEF"/>
    <w:rsid w:val="00C90D98"/>
    <w:rsid w:val="00CA7DAC"/>
    <w:rsid w:val="00CF13DE"/>
    <w:rsid w:val="00E70239"/>
    <w:rsid w:val="00E8614B"/>
    <w:rsid w:val="00E90E46"/>
    <w:rsid w:val="00E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4B711-B186-494F-A9B5-04D7E0E5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36E"/>
    <w:pPr>
      <w:spacing w:after="0" w:line="240" w:lineRule="auto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236E"/>
    <w:pPr>
      <w:keepNext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05236E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BE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BE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Okrepkie</dc:creator>
  <cp:keywords/>
  <dc:description/>
  <cp:lastModifiedBy>Daemen College</cp:lastModifiedBy>
  <cp:revision>3</cp:revision>
  <dcterms:created xsi:type="dcterms:W3CDTF">2017-11-15T19:53:00Z</dcterms:created>
  <dcterms:modified xsi:type="dcterms:W3CDTF">2017-11-15T19:54:00Z</dcterms:modified>
</cp:coreProperties>
</file>